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85F1E54"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5A56C779"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A22444">
        <w:rPr>
          <w:rFonts w:ascii="Arial" w:hAnsi="Arial" w:cs="Al Bayan Plain"/>
          <w:bCs/>
          <w:color w:val="B19D40"/>
          <w:sz w:val="32"/>
          <w:szCs w:val="32"/>
          <w:shd w:val="clear" w:color="auto" w:fill="FFFFFF" w:themeFill="background1"/>
        </w:rPr>
        <w:t>December</w:t>
      </w:r>
      <w:r w:rsidR="00A22444"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shd w:val="clear" w:color="auto" w:fill="FFFFFF" w:themeFill="background1"/>
        </w:rPr>
        <w:t>2019 -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&#13;&#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194FE25C"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Pr="0074454D">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77E96434"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5FA56B70"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54C76B20"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46DC2A3"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73B92534"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52A77D93"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548B1B10"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27703D92"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5630054F"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219D6DC3"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5763FB60"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59786731"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6399A4A6"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5D6E7538" w14:textId="39A54033"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7193D9DB" w14:textId="69039777" w:rsidR="00B40CC0" w:rsidRPr="0074454D" w:rsidRDefault="006A4CAF">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4E2F47FF"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A22444">
        <w:rPr>
          <w:rFonts w:ascii="Arial" w:hAnsi="Arial" w:cs="Arial"/>
          <w:b/>
          <w:color w:val="000000"/>
          <w:sz w:val="20"/>
          <w:szCs w:val="20"/>
        </w:rPr>
        <w:t xml:space="preserve">December </w:t>
      </w:r>
      <w:r w:rsidR="00EE20F0" w:rsidRPr="003A6EF6">
        <w:rPr>
          <w:rFonts w:ascii="Arial" w:hAnsi="Arial" w:cs="Arial"/>
          <w:b/>
          <w:color w:val="000000"/>
          <w:sz w:val="20"/>
          <w:szCs w:val="20"/>
        </w:rPr>
        <w:t>2019</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165E6153" w:rsidR="00D71ED6"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61D83734"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F14CCD">
        <w:rPr>
          <w:rFonts w:ascii="Arial" w:hAnsi="Arial" w:cs="Arial"/>
          <w:sz w:val="20"/>
          <w:szCs w:val="20"/>
        </w:rPr>
        <w:t>11.</w:t>
      </w:r>
      <w:r w:rsidR="0026735A">
        <w:rPr>
          <w:rFonts w:ascii="Arial" w:hAnsi="Arial" w:cs="Arial"/>
          <w:sz w:val="20"/>
          <w:szCs w:val="20"/>
        </w:rPr>
        <w:t>25</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B32AB2" w:rsidRPr="003A6EF6">
        <w:rPr>
          <w:rFonts w:ascii="Arial" w:hAnsi="Arial" w:cs="Arial"/>
          <w:sz w:val="20"/>
          <w:szCs w:val="20"/>
        </w:rPr>
        <w:t>90%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43F0F6D5"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0E3A167C"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7" w:name="_Toc18054578"/>
      <w:r w:rsidRPr="0074454D">
        <w:rPr>
          <w:rFonts w:ascii="Arial" w:hAnsi="Arial" w:cs="Arial"/>
          <w:b/>
          <w:bCs/>
          <w:color w:val="000000" w:themeColor="text1"/>
          <w:sz w:val="24"/>
          <w:szCs w:val="24"/>
        </w:rPr>
        <w:t xml:space="preserve">Who is involved in the </w:t>
      </w:r>
      <w:proofErr w:type="gramStart"/>
      <w:r w:rsidRPr="0074454D">
        <w:rPr>
          <w:rFonts w:ascii="Arial" w:hAnsi="Arial" w:cs="Arial"/>
          <w:b/>
          <w:bCs/>
          <w:color w:val="000000" w:themeColor="text1"/>
          <w:sz w:val="24"/>
          <w:szCs w:val="24"/>
        </w:rPr>
        <w:t>p</w:t>
      </w:r>
      <w:r w:rsidR="00632AB8" w:rsidRPr="0074454D">
        <w:rPr>
          <w:rFonts w:ascii="Arial" w:hAnsi="Arial" w:cs="Arial"/>
          <w:b/>
          <w:bCs/>
          <w:color w:val="000000" w:themeColor="text1"/>
          <w:sz w:val="24"/>
          <w:szCs w:val="24"/>
        </w:rPr>
        <w:t>lan</w:t>
      </w:r>
      <w:bookmarkEnd w:id="7"/>
      <w:proofErr w:type="gramEnd"/>
    </w:p>
    <w:p w14:paraId="431F5EB7" w14:textId="10F5FEFF" w:rsidR="00487E63" w:rsidRPr="0074454D" w:rsidRDefault="00632AB8" w:rsidP="0074454D">
      <w:pPr>
        <w:pStyle w:val="Heading2"/>
        <w:rPr>
          <w:rFonts w:ascii="Arial" w:hAnsi="Arial" w:cs="Arial"/>
          <w:b/>
          <w:sz w:val="20"/>
          <w:szCs w:val="20"/>
        </w:rPr>
      </w:pPr>
      <w:bookmarkStart w:id="8" w:name="_Toc18054506"/>
      <w:bookmarkStart w:id="9"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8"/>
      <w:bookmarkEnd w:id="9"/>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0" w:name="_Toc18054507"/>
      <w:bookmarkStart w:id="11" w:name="_Toc18054580"/>
      <w:r w:rsidRPr="0074454D">
        <w:rPr>
          <w:rFonts w:ascii="Arial" w:hAnsi="Arial" w:cs="Arial"/>
          <w:b/>
          <w:bCs/>
          <w:color w:val="000000" w:themeColor="text1"/>
          <w:sz w:val="20"/>
          <w:szCs w:val="20"/>
        </w:rPr>
        <w:t>Plan Administrator</w:t>
      </w:r>
      <w:bookmarkEnd w:id="10"/>
      <w:bookmarkEnd w:id="11"/>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2" w:name="_Toc18054508"/>
      <w:bookmarkStart w:id="13"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2"/>
      <w:bookmarkEnd w:id="13"/>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B5200D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F14CCD">
        <w:rPr>
          <w:rFonts w:ascii="Arial" w:hAnsi="Arial" w:cs="Arial"/>
          <w:sz w:val="20"/>
          <w:szCs w:val="20"/>
        </w:rPr>
        <w:t xml:space="preserve">01 </w:t>
      </w:r>
      <w:r w:rsidR="00A22444">
        <w:rPr>
          <w:rFonts w:ascii="Arial" w:hAnsi="Arial" w:cs="Arial"/>
          <w:sz w:val="20"/>
          <w:szCs w:val="20"/>
        </w:rPr>
        <w:t xml:space="preserve">Oct </w:t>
      </w:r>
      <w:r w:rsidR="002C25B8">
        <w:rPr>
          <w:rFonts w:ascii="Arial" w:hAnsi="Arial" w:cs="Arial"/>
          <w:sz w:val="20"/>
          <w:szCs w:val="20"/>
        </w:rPr>
        <w:t>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4"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4"/>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5"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5"/>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6" w:name="_Toc18054583"/>
      <w:r w:rsidRPr="0074454D">
        <w:rPr>
          <w:rFonts w:ascii="Arial" w:hAnsi="Arial" w:cs="Arial"/>
          <w:b/>
          <w:bCs/>
          <w:color w:val="000000" w:themeColor="text1"/>
          <w:sz w:val="24"/>
          <w:szCs w:val="24"/>
        </w:rPr>
        <w:t>Other risks you should be aware of and consider</w:t>
      </w:r>
      <w:bookmarkEnd w:id="16"/>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7"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7"/>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8" w:name="_Toc18054585"/>
      <w:r w:rsidRPr="0074454D">
        <w:rPr>
          <w:rFonts w:ascii="Arial" w:hAnsi="Arial" w:cs="Arial"/>
          <w:b/>
          <w:bCs/>
          <w:color w:val="000000" w:themeColor="text1"/>
          <w:sz w:val="24"/>
          <w:szCs w:val="24"/>
        </w:rPr>
        <w:t>Charges</w:t>
      </w:r>
      <w:bookmarkEnd w:id="18"/>
      <w:r w:rsidRPr="0074454D">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1E6B6C4B"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8A2C34" w:rsidRPr="003A6EF6">
        <w:rPr>
          <w:rFonts w:ascii="Arial" w:hAnsi="Arial" w:cs="Arial"/>
          <w:color w:val="000000"/>
          <w:sz w:val="20"/>
          <w:szCs w:val="20"/>
        </w:rPr>
        <w:t>5</w:t>
      </w:r>
      <w:r w:rsidRPr="003A6EF6">
        <w:rPr>
          <w:rFonts w:ascii="Arial" w:hAnsi="Arial" w:cs="Arial"/>
          <w:color w:val="000000"/>
          <w:sz w:val="20"/>
          <w:szCs w:val="20"/>
        </w:rPr>
        <w:t>5%.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19"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19"/>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1C8AB6E5"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90% 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3ECAC292"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F14CCD">
              <w:rPr>
                <w:rFonts w:ascii="Arial" w:hAnsi="Arial" w:cs="Arial"/>
                <w:sz w:val="20"/>
                <w:szCs w:val="20"/>
              </w:rPr>
              <w:t>11.</w:t>
            </w:r>
            <w:bookmarkStart w:id="20" w:name="_GoBack"/>
            <w:r w:rsidR="0026735A">
              <w:rPr>
                <w:rFonts w:ascii="Arial" w:hAnsi="Arial" w:cs="Arial"/>
                <w:sz w:val="20"/>
                <w:szCs w:val="20"/>
              </w:rPr>
              <w:t>25</w:t>
            </w:r>
            <w:bookmarkEnd w:id="20"/>
            <w:r w:rsidR="008C5B72" w:rsidRPr="003A6EF6">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FDED584"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411E09" w:rsidRPr="003A6EF6">
              <w:rPr>
                <w:rFonts w:ascii="Arial" w:hAnsi="Arial" w:cs="Arial"/>
                <w:sz w:val="20"/>
                <w:szCs w:val="20"/>
              </w:rPr>
              <w:t xml:space="preserve">90% 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411E09" w:rsidRPr="003A6EF6">
              <w:rPr>
                <w:rFonts w:ascii="Arial" w:hAnsi="Arial" w:cs="Arial"/>
                <w:sz w:val="20"/>
                <w:szCs w:val="20"/>
              </w:rPr>
              <w:t xml:space="preserve">90%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45AB208A"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26735A">
              <w:rPr>
                <w:rFonts w:ascii="Arial" w:hAnsi="Arial" w:cs="Arial"/>
                <w:sz w:val="20"/>
                <w:szCs w:val="20"/>
              </w:rPr>
              <w:t>112.50</w:t>
            </w:r>
            <w:r w:rsidR="00195110" w:rsidRPr="003A6EF6">
              <w:rPr>
                <w:rFonts w:ascii="Arial" w:hAnsi="Arial" w:cs="Arial"/>
                <w:sz w:val="20"/>
                <w:szCs w:val="20"/>
              </w:rPr>
              <w:t>%</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F14CCD">
              <w:rPr>
                <w:rFonts w:ascii="Arial" w:hAnsi="Arial" w:cs="Arial"/>
                <w:sz w:val="20"/>
                <w:szCs w:val="20"/>
              </w:rPr>
              <w:t>11.</w:t>
            </w:r>
            <w:r w:rsidR="0026735A">
              <w:rPr>
                <w:rFonts w:ascii="Arial" w:hAnsi="Arial" w:cs="Arial"/>
                <w:sz w:val="20"/>
                <w:szCs w:val="20"/>
              </w:rPr>
              <w:t>25</w:t>
            </w:r>
            <w:r w:rsidR="00B04575" w:rsidRPr="003A6EF6">
              <w:rPr>
                <w:rFonts w:ascii="Arial" w:hAnsi="Arial" w:cs="Arial"/>
                <w:sz w:val="20"/>
                <w:szCs w:val="20"/>
              </w:rPr>
              <w:t>%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3C69E0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411E09" w:rsidRPr="003A6EF6">
              <w:rPr>
                <w:rFonts w:ascii="Arial" w:hAnsi="Arial" w:cs="Arial"/>
                <w:sz w:val="20"/>
                <w:szCs w:val="20"/>
              </w:rPr>
              <w:t xml:space="preserve">90%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74454D" w:rsidRDefault="008C5B72" w:rsidP="0074454D">
      <w:pPr>
        <w:pStyle w:val="Heading1"/>
        <w:spacing w:before="360"/>
        <w:rPr>
          <w:rFonts w:ascii="Arial" w:hAnsi="Arial" w:cs="Arial"/>
          <w:b/>
          <w:bCs/>
          <w:color w:val="000000" w:themeColor="text1"/>
          <w:sz w:val="24"/>
          <w:szCs w:val="24"/>
        </w:rPr>
      </w:pPr>
      <w:bookmarkStart w:id="21" w:name="_Toc18054587"/>
      <w:r w:rsidRPr="0074454D">
        <w:rPr>
          <w:rFonts w:ascii="Arial" w:hAnsi="Arial" w:cs="Arial"/>
          <w:b/>
          <w:bCs/>
          <w:color w:val="000000" w:themeColor="text1"/>
          <w:sz w:val="24"/>
          <w:szCs w:val="24"/>
        </w:rPr>
        <w:lastRenderedPageBreak/>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1146F4A4" w14:textId="77777777" w:rsidR="00D6145D" w:rsidRDefault="00D6145D">
      <w:pPr>
        <w:rPr>
          <w:rFonts w:ascii="Arial" w:hAnsi="Arial" w:cs="Arial"/>
          <w:b/>
          <w:sz w:val="20"/>
          <w:szCs w:val="20"/>
        </w:rPr>
      </w:pPr>
      <w:r>
        <w:rPr>
          <w:rFonts w:ascii="Arial" w:hAnsi="Arial" w:cs="Arial"/>
          <w:b/>
          <w:sz w:val="20"/>
          <w:szCs w:val="20"/>
        </w:rPr>
        <w:br w:type="page"/>
      </w:r>
    </w:p>
    <w:p w14:paraId="041468AA" w14:textId="3DF5944C" w:rsidR="0058171B" w:rsidRPr="002B1B0A" w:rsidRDefault="00DA5EC1" w:rsidP="0074454D">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&#13;&#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66F6CB83"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14CCD">
        <w:rPr>
          <w:rFonts w:ascii="Arial" w:hAnsi="Arial" w:cs="Arial"/>
          <w:sz w:val="20"/>
          <w:szCs w:val="20"/>
          <w:lang w:eastAsia="en-GB"/>
        </w:rPr>
        <w:t xml:space="preserve">01 </w:t>
      </w:r>
      <w:r w:rsidR="00A22444">
        <w:rPr>
          <w:rFonts w:ascii="Arial" w:hAnsi="Arial" w:cs="Arial"/>
          <w:sz w:val="20"/>
          <w:szCs w:val="20"/>
          <w:lang w:eastAsia="en-GB"/>
        </w:rPr>
        <w:t xml:space="preserve">Oct </w:t>
      </w:r>
      <w:r>
        <w:rPr>
          <w:rFonts w:ascii="Arial" w:hAnsi="Arial" w:cs="Arial"/>
          <w:sz w:val="20"/>
          <w:szCs w:val="20"/>
          <w:lang w:eastAsia="en-GB"/>
        </w:rPr>
        <w:t>2019.</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0A37" w14:textId="77777777" w:rsidR="006A4CAF" w:rsidRDefault="006A4CAF" w:rsidP="00D76989">
      <w:pPr>
        <w:spacing w:after="0" w:line="240" w:lineRule="auto"/>
      </w:pPr>
      <w:r>
        <w:separator/>
      </w:r>
    </w:p>
  </w:endnote>
  <w:endnote w:type="continuationSeparator" w:id="0">
    <w:p w14:paraId="7EBC3563" w14:textId="77777777" w:rsidR="006A4CAF" w:rsidRDefault="006A4CAF"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ibson Light">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bson">
    <w:altName w:val="Calibri"/>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D5D7" w14:textId="77777777" w:rsidR="006A4CAF" w:rsidRDefault="006A4CAF" w:rsidP="00D76989">
      <w:pPr>
        <w:spacing w:after="0" w:line="240" w:lineRule="auto"/>
      </w:pPr>
      <w:r>
        <w:separator/>
      </w:r>
    </w:p>
  </w:footnote>
  <w:footnote w:type="continuationSeparator" w:id="0">
    <w:p w14:paraId="39DBFCE3" w14:textId="77777777" w:rsidR="006A4CAF" w:rsidRDefault="006A4CAF"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3477"/>
    <w:rsid w:val="000A6451"/>
    <w:rsid w:val="000A705C"/>
    <w:rsid w:val="000C6BFF"/>
    <w:rsid w:val="000D00B4"/>
    <w:rsid w:val="000D04BF"/>
    <w:rsid w:val="000E001C"/>
    <w:rsid w:val="000E33F0"/>
    <w:rsid w:val="000E55C6"/>
    <w:rsid w:val="000E7899"/>
    <w:rsid w:val="000F2403"/>
    <w:rsid w:val="00100498"/>
    <w:rsid w:val="00110784"/>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31556"/>
    <w:rsid w:val="00256186"/>
    <w:rsid w:val="00256D93"/>
    <w:rsid w:val="0026735A"/>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02E"/>
    <w:rsid w:val="0047036E"/>
    <w:rsid w:val="00477D51"/>
    <w:rsid w:val="00484D9A"/>
    <w:rsid w:val="0048627A"/>
    <w:rsid w:val="00487E63"/>
    <w:rsid w:val="00492676"/>
    <w:rsid w:val="004C167F"/>
    <w:rsid w:val="004C558B"/>
    <w:rsid w:val="004D491B"/>
    <w:rsid w:val="004D4D59"/>
    <w:rsid w:val="004E1D9B"/>
    <w:rsid w:val="004E2926"/>
    <w:rsid w:val="004E470A"/>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35E00"/>
    <w:rsid w:val="00652E4A"/>
    <w:rsid w:val="0066425A"/>
    <w:rsid w:val="00666A27"/>
    <w:rsid w:val="006732E1"/>
    <w:rsid w:val="0068038C"/>
    <w:rsid w:val="006816D5"/>
    <w:rsid w:val="0068644F"/>
    <w:rsid w:val="0069765D"/>
    <w:rsid w:val="006A4CAF"/>
    <w:rsid w:val="006B474F"/>
    <w:rsid w:val="006C39D6"/>
    <w:rsid w:val="006F6060"/>
    <w:rsid w:val="00723084"/>
    <w:rsid w:val="00723C83"/>
    <w:rsid w:val="00731C2C"/>
    <w:rsid w:val="0074454D"/>
    <w:rsid w:val="007454E1"/>
    <w:rsid w:val="00754DEB"/>
    <w:rsid w:val="00760DA4"/>
    <w:rsid w:val="0078706C"/>
    <w:rsid w:val="007B3901"/>
    <w:rsid w:val="007C4621"/>
    <w:rsid w:val="007C515D"/>
    <w:rsid w:val="007D25F4"/>
    <w:rsid w:val="007D3CBE"/>
    <w:rsid w:val="007E13DD"/>
    <w:rsid w:val="007E61CD"/>
    <w:rsid w:val="007E69A7"/>
    <w:rsid w:val="0080115A"/>
    <w:rsid w:val="00823898"/>
    <w:rsid w:val="00823E0E"/>
    <w:rsid w:val="0084149A"/>
    <w:rsid w:val="008458DC"/>
    <w:rsid w:val="00845DE2"/>
    <w:rsid w:val="00861741"/>
    <w:rsid w:val="00877491"/>
    <w:rsid w:val="008776F2"/>
    <w:rsid w:val="0088277E"/>
    <w:rsid w:val="00885CDA"/>
    <w:rsid w:val="00886F64"/>
    <w:rsid w:val="008A2C34"/>
    <w:rsid w:val="008C11F4"/>
    <w:rsid w:val="008C5B72"/>
    <w:rsid w:val="008D3ED4"/>
    <w:rsid w:val="008E605F"/>
    <w:rsid w:val="008F1178"/>
    <w:rsid w:val="008F527B"/>
    <w:rsid w:val="008F720C"/>
    <w:rsid w:val="009027AC"/>
    <w:rsid w:val="00906736"/>
    <w:rsid w:val="00911362"/>
    <w:rsid w:val="009143BA"/>
    <w:rsid w:val="00917C1D"/>
    <w:rsid w:val="009336EA"/>
    <w:rsid w:val="00940B7B"/>
    <w:rsid w:val="0094262B"/>
    <w:rsid w:val="00947C44"/>
    <w:rsid w:val="00954332"/>
    <w:rsid w:val="00971BC7"/>
    <w:rsid w:val="009B241F"/>
    <w:rsid w:val="009C6B16"/>
    <w:rsid w:val="009D1477"/>
    <w:rsid w:val="009F5830"/>
    <w:rsid w:val="009F6CF5"/>
    <w:rsid w:val="00A133D9"/>
    <w:rsid w:val="00A14A58"/>
    <w:rsid w:val="00A22444"/>
    <w:rsid w:val="00A22C5D"/>
    <w:rsid w:val="00A246C5"/>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A7B8E"/>
    <w:rsid w:val="00BB653E"/>
    <w:rsid w:val="00BC1662"/>
    <w:rsid w:val="00BE0E4F"/>
    <w:rsid w:val="00C01F47"/>
    <w:rsid w:val="00C113F6"/>
    <w:rsid w:val="00C1220A"/>
    <w:rsid w:val="00C14EA7"/>
    <w:rsid w:val="00C54224"/>
    <w:rsid w:val="00C643F8"/>
    <w:rsid w:val="00C77064"/>
    <w:rsid w:val="00C818F9"/>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E00862"/>
    <w:rsid w:val="00E0572F"/>
    <w:rsid w:val="00E13B21"/>
    <w:rsid w:val="00E56F61"/>
    <w:rsid w:val="00E65AF2"/>
    <w:rsid w:val="00E70EC3"/>
    <w:rsid w:val="00E725BC"/>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18AB"/>
    <w:rsid w:val="00EF2A6F"/>
    <w:rsid w:val="00F003CA"/>
    <w:rsid w:val="00F11CE9"/>
    <w:rsid w:val="00F14CCD"/>
    <w:rsid w:val="00F31CF4"/>
    <w:rsid w:val="00F415A9"/>
    <w:rsid w:val="00F45F40"/>
    <w:rsid w:val="00F57741"/>
    <w:rsid w:val="00F7392C"/>
    <w:rsid w:val="00F84486"/>
    <w:rsid w:val="00F875EF"/>
    <w:rsid w:val="00F927BD"/>
    <w:rsid w:val="00FA1A63"/>
    <w:rsid w:val="00FB20A4"/>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A6D7-08D1-0740-95C8-3A3F952E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2019-06-20T11:41:00Z</cp:lastPrinted>
  <dcterms:created xsi:type="dcterms:W3CDTF">2019-10-18T10:22:00Z</dcterms:created>
  <dcterms:modified xsi:type="dcterms:W3CDTF">2019-10-18T10:22:00Z</dcterms:modified>
</cp:coreProperties>
</file>