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0C3" w14:textId="2495A339" w:rsidR="003A6EF6" w:rsidRPr="003A6EF6" w:rsidRDefault="00110784" w:rsidP="00367681">
      <w:pPr>
        <w:pStyle w:val="NoSpacing"/>
        <w:rPr>
          <w:rFonts w:ascii="Arial" w:hAnsi="Arial" w:cs="Arial"/>
          <w:b/>
          <w:sz w:val="20"/>
          <w:szCs w:val="20"/>
          <w:lang w:eastAsia="en-GB"/>
        </w:rPr>
      </w:pPr>
      <w:bookmarkStart w:id="0" w:name="_GoBack"/>
      <w:bookmarkEnd w:id="0"/>
      <w:r w:rsidRPr="00110784">
        <w:rPr>
          <w:rFonts w:ascii="Arial" w:hAnsi="Arial" w:cs="Arial"/>
          <w:b/>
          <w:noProof/>
          <w:sz w:val="20"/>
          <w:szCs w:val="20"/>
          <w:lang w:eastAsia="en-GB"/>
        </w:rPr>
        <w:drawing>
          <wp:inline distT="0" distB="0" distL="0" distR="0" wp14:anchorId="5DE4196E" wp14:editId="7571A13A">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4302" cy="424552"/>
                    </a:xfrm>
                    <a:prstGeom prst="rect">
                      <a:avLst/>
                    </a:prstGeom>
                  </pic:spPr>
                </pic:pic>
              </a:graphicData>
            </a:graphic>
          </wp:inline>
        </w:drawing>
      </w:r>
    </w:p>
    <w:p w14:paraId="019AD8F5" w14:textId="7397B739" w:rsidR="003A6EF6" w:rsidRPr="008C0EC5" w:rsidRDefault="003A6EF6" w:rsidP="00367681">
      <w:pPr>
        <w:pStyle w:val="NoSpacing"/>
        <w:rPr>
          <w:rFonts w:ascii="Arial" w:hAnsi="Arial" w:cs="Arial"/>
          <w:bCs/>
          <w:color w:val="B19D40"/>
          <w:sz w:val="20"/>
          <w:szCs w:val="20"/>
          <w:lang w:eastAsia="en-GB"/>
        </w:rPr>
      </w:pPr>
      <w:r w:rsidRPr="008C0EC5">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8C0EC5" w:rsidRDefault="003A6EF6" w:rsidP="00367681">
      <w:pPr>
        <w:pStyle w:val="NoSpacing"/>
        <w:rPr>
          <w:rFonts w:ascii="Arial" w:hAnsi="Arial" w:cs="Arial"/>
          <w:b/>
          <w:color w:val="B19D40"/>
          <w:sz w:val="20"/>
          <w:szCs w:val="20"/>
          <w:lang w:eastAsia="en-GB"/>
        </w:rPr>
      </w:pPr>
    </w:p>
    <w:p w14:paraId="035A8E17" w14:textId="013B152C" w:rsidR="00885CDA" w:rsidRPr="008C0EC5" w:rsidRDefault="00885CDA" w:rsidP="00885CDA">
      <w:pPr>
        <w:pStyle w:val="NoSpacing"/>
        <w:rPr>
          <w:rFonts w:ascii="Arial" w:hAnsi="Arial" w:cs="Al Bayan Plain"/>
          <w:bCs/>
          <w:color w:val="B19D40"/>
          <w:sz w:val="32"/>
          <w:szCs w:val="32"/>
        </w:rPr>
      </w:pPr>
      <w:r w:rsidRPr="008C0EC5">
        <w:rPr>
          <w:rFonts w:ascii="Arial" w:hAnsi="Arial" w:cs="Al Bayan Plain"/>
          <w:bCs/>
          <w:color w:val="B19D40"/>
          <w:sz w:val="32"/>
          <w:szCs w:val="32"/>
        </w:rPr>
        <w:t xml:space="preserve">Long Kick-Out Plan: </w:t>
      </w:r>
      <w:r w:rsidR="00F24DAD">
        <w:rPr>
          <w:rFonts w:ascii="Arial" w:hAnsi="Arial" w:cs="Al Bayan Plain"/>
          <w:bCs/>
          <w:color w:val="B19D40"/>
          <w:sz w:val="32"/>
          <w:szCs w:val="32"/>
          <w:shd w:val="clear" w:color="auto" w:fill="FFFFFF" w:themeFill="background1"/>
        </w:rPr>
        <w:t>March</w:t>
      </w:r>
      <w:r w:rsidR="001A2CF9">
        <w:rPr>
          <w:rFonts w:ascii="Arial" w:hAnsi="Arial" w:cs="Al Bayan Plain"/>
          <w:bCs/>
          <w:color w:val="B19D40"/>
          <w:sz w:val="32"/>
          <w:szCs w:val="32"/>
          <w:shd w:val="clear" w:color="auto" w:fill="FFFFFF" w:themeFill="background1"/>
        </w:rPr>
        <w:t xml:space="preserve"> 2021</w:t>
      </w:r>
      <w:r w:rsidRPr="008C0EC5">
        <w:rPr>
          <w:rFonts w:ascii="Arial" w:hAnsi="Arial" w:cs="Al Bayan Plain"/>
          <w:bCs/>
          <w:color w:val="B19D40"/>
          <w:sz w:val="32"/>
          <w:szCs w:val="32"/>
          <w:shd w:val="clear" w:color="auto" w:fill="FFFFFF" w:themeFill="background1"/>
        </w:rPr>
        <w:t xml:space="preserve"> -</w:t>
      </w:r>
      <w:r w:rsidRPr="008C0EC5">
        <w:rPr>
          <w:rFonts w:ascii="Arial" w:hAnsi="Arial" w:cs="Al Bayan Plain"/>
          <w:bCs/>
          <w:color w:val="B19D40"/>
          <w:sz w:val="32"/>
          <w:szCs w:val="32"/>
        </w:rPr>
        <w:t xml:space="preserve"> Option </w:t>
      </w:r>
      <w:r w:rsidR="008C1CE1">
        <w:rPr>
          <w:rFonts w:ascii="Arial" w:hAnsi="Arial" w:cs="Al Bayan Plain"/>
          <w:bCs/>
          <w:color w:val="B19D40"/>
          <w:sz w:val="32"/>
          <w:szCs w:val="32"/>
        </w:rPr>
        <w:t>3</w:t>
      </w:r>
    </w:p>
    <w:p w14:paraId="66658B4C" w14:textId="77777777" w:rsidR="00885CDA" w:rsidRPr="008C0EC5" w:rsidRDefault="00885CDA" w:rsidP="00367681">
      <w:pPr>
        <w:pStyle w:val="NoSpacing"/>
        <w:rPr>
          <w:rFonts w:ascii="Arial" w:hAnsi="Arial" w:cs="Al Bayan Plain"/>
          <w:bCs/>
          <w:color w:val="B19D40"/>
          <w:sz w:val="32"/>
          <w:szCs w:val="32"/>
          <w:lang w:eastAsia="en-GB"/>
        </w:rPr>
      </w:pPr>
    </w:p>
    <w:p w14:paraId="0EF9CD6D" w14:textId="6C0A68DB" w:rsidR="003A6EF6" w:rsidRPr="008C0EC5" w:rsidRDefault="003A6EF6" w:rsidP="00367681">
      <w:pPr>
        <w:pStyle w:val="NoSpacing"/>
        <w:rPr>
          <w:rFonts w:ascii="Arial" w:hAnsi="Arial" w:cs="Al Bayan Plain"/>
          <w:bCs/>
          <w:color w:val="B19D40"/>
          <w:sz w:val="32"/>
          <w:szCs w:val="32"/>
          <w:lang w:eastAsia="en-GB"/>
        </w:rPr>
      </w:pPr>
      <w:r w:rsidRPr="008C0EC5">
        <w:rPr>
          <w:rFonts w:ascii="Arial" w:hAnsi="Arial" w:cs="Al Bayan Plain"/>
          <w:bCs/>
          <w:color w:val="B19D40"/>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8188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strokecolor="#b19d40" strokeweight="3.5pt"/>
            </w:pict>
          </mc:Fallback>
        </mc:AlternateContent>
      </w:r>
    </w:p>
    <w:p w14:paraId="73D734C5" w14:textId="77777777" w:rsidR="00A133D9" w:rsidRPr="008C0EC5" w:rsidRDefault="00A133D9" w:rsidP="00367681">
      <w:pPr>
        <w:pStyle w:val="NoSpacing"/>
        <w:rPr>
          <w:rFonts w:ascii="Arial" w:hAnsi="Arial" w:cs="Arial"/>
          <w:color w:val="B19D40"/>
          <w:sz w:val="20"/>
          <w:szCs w:val="20"/>
          <w:lang w:eastAsia="en-GB"/>
        </w:rPr>
      </w:pPr>
    </w:p>
    <w:p w14:paraId="29D9F311" w14:textId="4DAA16EE" w:rsidR="002C5FD7" w:rsidRPr="008C0EC5" w:rsidRDefault="002C5FD7" w:rsidP="00367681">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0"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7D499031" w14:textId="77777777" w:rsidR="006E4F9B" w:rsidRPr="00F2128D" w:rsidRDefault="006E4F9B" w:rsidP="006E4F9B">
      <w:pPr>
        <w:rPr>
          <w:rFonts w:ascii="Arial" w:hAnsi="Arial" w:cs="Arial"/>
          <w:b/>
          <w:bCs/>
          <w:sz w:val="24"/>
          <w:szCs w:val="24"/>
        </w:rPr>
      </w:pPr>
      <w:r w:rsidRPr="00F2128D">
        <w:rPr>
          <w:rFonts w:ascii="Arial" w:hAnsi="Arial" w:cs="Arial"/>
          <w:b/>
          <w:bCs/>
          <w:sz w:val="24"/>
          <w:szCs w:val="24"/>
        </w:rPr>
        <w:lastRenderedPageBreak/>
        <w:t>Contents</w:t>
      </w:r>
    </w:p>
    <w:p w14:paraId="2CFB4841" w14:textId="77777777" w:rsidR="00DC0517" w:rsidRPr="004E2926" w:rsidRDefault="00DC0517" w:rsidP="00DC051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DB16DAC" w14:textId="7F907190" w:rsidR="006E4F9B" w:rsidRPr="008C0EC5" w:rsidRDefault="006E4F9B">
      <w:pPr>
        <w:pStyle w:val="TOC1"/>
        <w:tabs>
          <w:tab w:val="right" w:leader="dot" w:pos="9016"/>
        </w:tabs>
        <w:rPr>
          <w:rFonts w:ascii="Arial" w:eastAsiaTheme="minorEastAsia" w:hAnsi="Arial" w:cs="Arial"/>
          <w:noProof/>
          <w:sz w:val="20"/>
          <w:szCs w:val="20"/>
          <w:lang w:eastAsia="en-GB"/>
        </w:rPr>
      </w:pPr>
      <w:r w:rsidRPr="008C0EC5">
        <w:rPr>
          <w:rFonts w:ascii="Arial" w:hAnsi="Arial" w:cs="Arial"/>
          <w:b/>
          <w:bCs/>
          <w:color w:val="000000"/>
          <w:sz w:val="20"/>
          <w:szCs w:val="20"/>
        </w:rPr>
        <w:fldChar w:fldCharType="begin"/>
      </w:r>
      <w:r w:rsidRPr="006E4F9B">
        <w:rPr>
          <w:rFonts w:ascii="Arial" w:hAnsi="Arial" w:cs="Arial"/>
          <w:b/>
          <w:bCs/>
          <w:color w:val="000000"/>
          <w:sz w:val="20"/>
          <w:szCs w:val="20"/>
        </w:rPr>
        <w:instrText xml:space="preserve"> TOC \o "1-3" \h \z \u </w:instrText>
      </w:r>
      <w:r w:rsidRPr="008C0EC5">
        <w:rPr>
          <w:rFonts w:ascii="Arial" w:hAnsi="Arial" w:cs="Arial"/>
          <w:b/>
          <w:bCs/>
          <w:color w:val="000000"/>
          <w:sz w:val="20"/>
          <w:szCs w:val="20"/>
        </w:rPr>
        <w:fldChar w:fldCharType="separate"/>
      </w:r>
      <w:hyperlink w:anchor="_Toc18054730" w:history="1">
        <w:r w:rsidRPr="008C0EC5">
          <w:rPr>
            <w:rStyle w:val="Hyperlink"/>
            <w:rFonts w:ascii="Arial" w:hAnsi="Arial" w:cs="Arial"/>
            <w:b/>
            <w:bCs/>
            <w:noProof/>
            <w:sz w:val="20"/>
            <w:szCs w:val="20"/>
          </w:rPr>
          <w:t>Introduction</w:t>
        </w:r>
        <w:r w:rsidRPr="008C0EC5">
          <w:rPr>
            <w:rFonts w:ascii="Arial" w:hAnsi="Arial" w:cs="Arial"/>
            <w:noProof/>
            <w:webHidden/>
            <w:sz w:val="20"/>
            <w:szCs w:val="20"/>
          </w:rPr>
          <w:tab/>
        </w:r>
        <w:r w:rsidRPr="008C0EC5">
          <w:rPr>
            <w:rFonts w:ascii="Arial" w:hAnsi="Arial" w:cs="Arial"/>
            <w:noProof/>
            <w:webHidden/>
            <w:sz w:val="20"/>
            <w:szCs w:val="20"/>
          </w:rPr>
          <w:fldChar w:fldCharType="begin"/>
        </w:r>
        <w:r w:rsidRPr="008C0EC5">
          <w:rPr>
            <w:rFonts w:ascii="Arial" w:hAnsi="Arial" w:cs="Arial"/>
            <w:noProof/>
            <w:webHidden/>
            <w:sz w:val="20"/>
            <w:szCs w:val="20"/>
          </w:rPr>
          <w:instrText xml:space="preserve"> PAGEREF _Toc18054730 \h </w:instrText>
        </w:r>
        <w:r w:rsidRPr="008C0EC5">
          <w:rPr>
            <w:rFonts w:ascii="Arial" w:hAnsi="Arial" w:cs="Arial"/>
            <w:noProof/>
            <w:webHidden/>
            <w:sz w:val="20"/>
            <w:szCs w:val="20"/>
          </w:rPr>
        </w:r>
        <w:r w:rsidRPr="008C0EC5">
          <w:rPr>
            <w:rFonts w:ascii="Arial" w:hAnsi="Arial" w:cs="Arial"/>
            <w:noProof/>
            <w:webHidden/>
            <w:sz w:val="20"/>
            <w:szCs w:val="20"/>
          </w:rPr>
          <w:fldChar w:fldCharType="separate"/>
        </w:r>
        <w:r w:rsidR="00472D8C">
          <w:rPr>
            <w:rFonts w:ascii="Arial" w:hAnsi="Arial" w:cs="Arial"/>
            <w:noProof/>
            <w:webHidden/>
            <w:sz w:val="20"/>
            <w:szCs w:val="20"/>
          </w:rPr>
          <w:t>3</w:t>
        </w:r>
        <w:r w:rsidRPr="008C0EC5">
          <w:rPr>
            <w:rFonts w:ascii="Arial" w:hAnsi="Arial" w:cs="Arial"/>
            <w:noProof/>
            <w:webHidden/>
            <w:sz w:val="20"/>
            <w:szCs w:val="20"/>
          </w:rPr>
          <w:fldChar w:fldCharType="end"/>
        </w:r>
      </w:hyperlink>
    </w:p>
    <w:p w14:paraId="0AC92519" w14:textId="421B37F4"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31" w:history="1">
        <w:r w:rsidR="006E4F9B" w:rsidRPr="008C0EC5">
          <w:rPr>
            <w:rStyle w:val="Hyperlink"/>
            <w:rFonts w:ascii="Arial" w:hAnsi="Arial" w:cs="Arial"/>
            <w:b/>
            <w:bCs/>
            <w:noProof/>
            <w:sz w:val="20"/>
            <w:szCs w:val="20"/>
          </w:rPr>
          <w:t>What is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3</w:t>
        </w:r>
        <w:r w:rsidR="006E4F9B" w:rsidRPr="008C0EC5">
          <w:rPr>
            <w:rFonts w:ascii="Arial" w:hAnsi="Arial" w:cs="Arial"/>
            <w:noProof/>
            <w:webHidden/>
            <w:sz w:val="20"/>
            <w:szCs w:val="20"/>
          </w:rPr>
          <w:fldChar w:fldCharType="end"/>
        </w:r>
      </w:hyperlink>
    </w:p>
    <w:p w14:paraId="61A0D9BE" w14:textId="56A035B2"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32" w:history="1">
        <w:r w:rsidR="006E4F9B" w:rsidRPr="008C0EC5">
          <w:rPr>
            <w:rStyle w:val="Hyperlink"/>
            <w:rFonts w:ascii="Arial" w:hAnsi="Arial" w:cs="Arial"/>
            <w:b/>
            <w:bCs/>
            <w:noProof/>
            <w:sz w:val="20"/>
            <w:szCs w:val="20"/>
          </w:rPr>
          <w:t>Why we are recommending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72CE278F" w14:textId="2D4A4607"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33" w:history="1">
        <w:r w:rsidR="006E4F9B" w:rsidRPr="008C0EC5">
          <w:rPr>
            <w:rStyle w:val="Hyperlink"/>
            <w:rFonts w:ascii="Arial" w:eastAsia="Times New Roman" w:hAnsi="Arial" w:cs="Arial"/>
            <w:b/>
            <w:bCs/>
            <w:noProof/>
            <w:sz w:val="20"/>
            <w:szCs w:val="20"/>
            <w:lang w:eastAsia="en-GB"/>
          </w:rPr>
          <w:t>Diversification is key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69D09B79" w14:textId="1B00CB2B"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34" w:history="1">
        <w:r w:rsidR="006E4F9B" w:rsidRPr="008C0EC5">
          <w:rPr>
            <w:rStyle w:val="Hyperlink"/>
            <w:rFonts w:ascii="Arial" w:hAnsi="Arial" w:cs="Arial"/>
            <w:b/>
            <w:bCs/>
            <w:noProof/>
            <w:sz w:val="20"/>
            <w:szCs w:val="20"/>
          </w:rPr>
          <w:t>The details, features and risks of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02E95AFC" w14:textId="09AAA61B"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35" w:history="1">
        <w:r w:rsidR="006E4F9B" w:rsidRPr="008C0EC5">
          <w:rPr>
            <w:rStyle w:val="Hyperlink"/>
            <w:rFonts w:ascii="Arial" w:hAnsi="Arial" w:cs="Arial"/>
            <w:b/>
            <w:bCs/>
            <w:noProof/>
            <w:sz w:val="20"/>
            <w:szCs w:val="20"/>
          </w:rPr>
          <w:t>It is important to understand that investing in the plan is not without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4D5429D9" w14:textId="5D1C7825"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36" w:history="1">
        <w:r w:rsidR="006E4F9B" w:rsidRPr="008C0EC5">
          <w:rPr>
            <w:rStyle w:val="Hyperlink"/>
            <w:rFonts w:ascii="Arial" w:hAnsi="Arial" w:cs="Arial"/>
            <w:b/>
            <w:bCs/>
            <w:noProof/>
            <w:sz w:val="20"/>
            <w:szCs w:val="20"/>
          </w:rPr>
          <w:t>The FTSE 100 FDEW</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30D63B6F" w14:textId="53044CD8"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37" w:history="1">
        <w:r w:rsidR="006E4F9B" w:rsidRPr="008C0EC5">
          <w:rPr>
            <w:rStyle w:val="Hyperlink"/>
            <w:rFonts w:ascii="Arial" w:hAnsi="Arial" w:cs="Arial"/>
            <w:b/>
            <w:bCs/>
            <w:noProof/>
            <w:sz w:val="20"/>
            <w:szCs w:val="20"/>
          </w:rPr>
          <w:t>Who is involved in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6</w:t>
        </w:r>
        <w:r w:rsidR="006E4F9B" w:rsidRPr="008C0EC5">
          <w:rPr>
            <w:rFonts w:ascii="Arial" w:hAnsi="Arial" w:cs="Arial"/>
            <w:noProof/>
            <w:webHidden/>
            <w:sz w:val="20"/>
            <w:szCs w:val="20"/>
          </w:rPr>
          <w:fldChar w:fldCharType="end"/>
        </w:r>
      </w:hyperlink>
    </w:p>
    <w:p w14:paraId="3B6365C8" w14:textId="430C016F"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1" w:history="1">
        <w:r w:rsidR="006E4F9B" w:rsidRPr="008C0EC5">
          <w:rPr>
            <w:rStyle w:val="Hyperlink"/>
            <w:rFonts w:ascii="Arial" w:hAnsi="Arial" w:cs="Arial"/>
            <w:b/>
            <w:bCs/>
            <w:noProof/>
            <w:sz w:val="20"/>
            <w:szCs w:val="20"/>
          </w:rPr>
          <w:t>The importance of understanding the issuer / counterparty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6F4471CF" w14:textId="17381C77"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2" w:history="1">
        <w:r w:rsidR="006E4F9B" w:rsidRPr="008C0EC5">
          <w:rPr>
            <w:rStyle w:val="Hyperlink"/>
            <w:rFonts w:ascii="Arial" w:hAnsi="Arial" w:cs="Arial"/>
            <w:b/>
            <w:bCs/>
            <w:noProof/>
            <w:sz w:val="20"/>
            <w:szCs w:val="20"/>
          </w:rPr>
          <w:t>Other risks you should be aware of and consider</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2FCF0F55" w14:textId="0A0F4B15"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3" w:history="1">
        <w:r w:rsidR="006E4F9B" w:rsidRPr="008C0EC5">
          <w:rPr>
            <w:rStyle w:val="Hyperlink"/>
            <w:rFonts w:ascii="Arial" w:hAnsi="Arial" w:cs="Arial"/>
            <w:b/>
            <w:bCs/>
            <w:noProof/>
            <w:sz w:val="20"/>
            <w:szCs w:val="20"/>
          </w:rPr>
          <w:t>Financial Services Compensation Scheme (‘FSCS’)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358BF08B" w14:textId="71AE3B5B"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4" w:history="1">
        <w:r w:rsidR="006E4F9B" w:rsidRPr="008C0EC5">
          <w:rPr>
            <w:rStyle w:val="Hyperlink"/>
            <w:rFonts w:ascii="Arial" w:hAnsi="Arial" w:cs="Arial"/>
            <w:b/>
            <w:bCs/>
            <w:noProof/>
            <w:sz w:val="20"/>
            <w:szCs w:val="20"/>
          </w:rPr>
          <w:t>Charges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5497D4F8" w14:textId="4C3B1529"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5" w:history="1">
        <w:r w:rsidR="006E4F9B" w:rsidRPr="008C0EC5">
          <w:rPr>
            <w:rStyle w:val="Hyperlink"/>
            <w:rFonts w:ascii="Arial" w:hAnsi="Arial" w:cs="Arial"/>
            <w:b/>
            <w:bCs/>
            <w:noProof/>
            <w:sz w:val="20"/>
            <w:szCs w:val="20"/>
          </w:rPr>
          <w:t>‘If / then …’ summary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9</w:t>
        </w:r>
        <w:r w:rsidR="006E4F9B" w:rsidRPr="008C0EC5">
          <w:rPr>
            <w:rFonts w:ascii="Arial" w:hAnsi="Arial" w:cs="Arial"/>
            <w:noProof/>
            <w:webHidden/>
            <w:sz w:val="20"/>
            <w:szCs w:val="20"/>
          </w:rPr>
          <w:fldChar w:fldCharType="end"/>
        </w:r>
      </w:hyperlink>
    </w:p>
    <w:p w14:paraId="5FD20B14" w14:textId="4574F984"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6" w:history="1">
        <w:r w:rsidR="006E4F9B" w:rsidRPr="008C0EC5">
          <w:rPr>
            <w:rStyle w:val="Hyperlink"/>
            <w:rFonts w:ascii="Arial" w:hAnsi="Arial" w:cs="Arial"/>
            <w:b/>
            <w:bCs/>
            <w:noProof/>
            <w:sz w:val="20"/>
            <w:szCs w:val="20"/>
          </w:rPr>
          <w:t>Is this plan suitable for you?</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1</w:t>
      </w:r>
    </w:p>
    <w:p w14:paraId="17FFE811" w14:textId="339509D5"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7" w:history="1">
        <w:r w:rsidR="006E4F9B" w:rsidRPr="008C0EC5">
          <w:rPr>
            <w:rStyle w:val="Hyperlink"/>
            <w:rFonts w:ascii="Arial" w:hAnsi="Arial" w:cs="Arial"/>
            <w:b/>
            <w:bCs/>
            <w:noProof/>
            <w:sz w:val="20"/>
            <w:szCs w:val="20"/>
          </w:rPr>
          <w:t>Prospective investors who should not invest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4F7699EF" w14:textId="77A6F1CA" w:rsidR="006E4F9B" w:rsidRPr="008C0EC5" w:rsidRDefault="00541AB5">
      <w:pPr>
        <w:pStyle w:val="TOC1"/>
        <w:tabs>
          <w:tab w:val="right" w:leader="dot" w:pos="9016"/>
        </w:tabs>
        <w:rPr>
          <w:rFonts w:ascii="Arial" w:eastAsiaTheme="minorEastAsia" w:hAnsi="Arial" w:cs="Arial"/>
          <w:noProof/>
          <w:sz w:val="20"/>
          <w:szCs w:val="20"/>
          <w:lang w:eastAsia="en-GB"/>
        </w:rPr>
      </w:pPr>
      <w:hyperlink w:anchor="_Toc18054748" w:history="1">
        <w:r w:rsidR="006E4F9B" w:rsidRPr="008C0EC5">
          <w:rPr>
            <w:rStyle w:val="Hyperlink"/>
            <w:rFonts w:ascii="Arial" w:hAnsi="Arial" w:cs="Arial"/>
            <w:b/>
            <w:bCs/>
            <w:noProof/>
            <w:sz w:val="20"/>
            <w:szCs w:val="20"/>
          </w:rPr>
          <w:t>Final points to emphasise</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_Toc18054748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3A9B8A5A" w14:textId="0D7DA92E" w:rsidR="00FA1A63" w:rsidRDefault="006E4F9B" w:rsidP="00A133D9">
      <w:pPr>
        <w:pStyle w:val="NoSpacing"/>
        <w:spacing w:before="120" w:after="120"/>
        <w:rPr>
          <w:rFonts w:ascii="Arial" w:hAnsi="Arial" w:cs="Arial"/>
          <w:b/>
          <w:color w:val="000000"/>
          <w:sz w:val="20"/>
          <w:szCs w:val="20"/>
        </w:rPr>
      </w:pPr>
      <w:r w:rsidRPr="008C0EC5">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52A7D887" w:rsidR="00632AB8"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E80EDF">
        <w:rPr>
          <w:rFonts w:ascii="Arial" w:hAnsi="Arial" w:cs="Arial"/>
          <w:b/>
          <w:color w:val="000000"/>
          <w:sz w:val="20"/>
          <w:szCs w:val="20"/>
        </w:rPr>
        <w:t>:</w:t>
      </w:r>
      <w:r w:rsidR="00EE20F0" w:rsidRPr="003A6EF6">
        <w:rPr>
          <w:rFonts w:ascii="Arial" w:hAnsi="Arial" w:cs="Arial"/>
          <w:b/>
          <w:color w:val="000000"/>
          <w:sz w:val="20"/>
          <w:szCs w:val="20"/>
        </w:rPr>
        <w:t xml:space="preserve"> </w:t>
      </w:r>
      <w:r w:rsidR="00F24DAD">
        <w:rPr>
          <w:rFonts w:ascii="Arial" w:hAnsi="Arial" w:cs="Arial"/>
          <w:b/>
          <w:color w:val="000000"/>
          <w:sz w:val="20"/>
          <w:szCs w:val="20"/>
        </w:rPr>
        <w:t>March</w:t>
      </w:r>
      <w:r w:rsidR="001A2CF9">
        <w:rPr>
          <w:rFonts w:ascii="Arial" w:hAnsi="Arial" w:cs="Arial"/>
          <w:b/>
          <w:color w:val="000000"/>
          <w:sz w:val="20"/>
          <w:szCs w:val="20"/>
        </w:rPr>
        <w:t xml:space="preserve"> 2021</w:t>
      </w:r>
    </w:p>
    <w:p w14:paraId="5252AF0E" w14:textId="72EBDD5D" w:rsidR="00231556" w:rsidRPr="003A6EF6" w:rsidRDefault="00231556" w:rsidP="00A133D9">
      <w:pPr>
        <w:pStyle w:val="NoSpacing"/>
        <w:spacing w:before="120" w:after="120"/>
        <w:rPr>
          <w:rFonts w:ascii="Arial" w:hAnsi="Arial" w:cs="Arial"/>
          <w:b/>
          <w:color w:val="000000"/>
          <w:sz w:val="20"/>
          <w:szCs w:val="20"/>
        </w:rPr>
      </w:pPr>
      <w:r>
        <w:rPr>
          <w:rFonts w:ascii="Arial" w:hAnsi="Arial" w:cs="Arial"/>
          <w:b/>
          <w:color w:val="000000"/>
          <w:sz w:val="20"/>
          <w:szCs w:val="20"/>
        </w:rPr>
        <w:t xml:space="preserve">Investment in option </w:t>
      </w:r>
      <w:r w:rsidR="008C1CE1">
        <w:rPr>
          <w:rFonts w:ascii="Arial" w:hAnsi="Arial" w:cs="Arial"/>
          <w:b/>
          <w:color w:val="000000"/>
          <w:sz w:val="20"/>
          <w:szCs w:val="20"/>
        </w:rPr>
        <w:t>3</w:t>
      </w:r>
    </w:p>
    <w:p w14:paraId="73717B72" w14:textId="487B06DC" w:rsidR="00367681" w:rsidRPr="008C0EC5" w:rsidRDefault="00231556" w:rsidP="008C0EC5">
      <w:pPr>
        <w:pStyle w:val="Heading1"/>
        <w:spacing w:before="360"/>
        <w:rPr>
          <w:rFonts w:ascii="Arial" w:hAnsi="Arial" w:cs="Arial"/>
          <w:b/>
          <w:bCs/>
          <w:color w:val="000000" w:themeColor="text1"/>
          <w:sz w:val="24"/>
          <w:szCs w:val="24"/>
        </w:rPr>
      </w:pPr>
      <w:bookmarkStart w:id="1" w:name="_Toc18054730"/>
      <w:r w:rsidRPr="008C0EC5">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0F207680"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1A912958" w14:textId="384007AB" w:rsidR="007C515D" w:rsidRPr="008C0EC5" w:rsidRDefault="007C515D" w:rsidP="008C0EC5">
      <w:pPr>
        <w:pStyle w:val="Heading1"/>
        <w:spacing w:before="360"/>
        <w:rPr>
          <w:rFonts w:ascii="Arial" w:hAnsi="Arial" w:cs="Arial"/>
          <w:b/>
          <w:bCs/>
          <w:color w:val="000000" w:themeColor="text1"/>
          <w:sz w:val="24"/>
          <w:szCs w:val="24"/>
        </w:rPr>
      </w:pPr>
      <w:bookmarkStart w:id="2" w:name="_Toc18054731"/>
      <w:r w:rsidRPr="008C0EC5">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69BE7944" w:rsidR="00AF4CB7" w:rsidRPr="003A6EF6" w:rsidRDefault="00274A48"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424D8FF1" w:rsidR="00AF4CB7"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E75B7AB" w14:textId="77777777" w:rsidR="00BB5BCD" w:rsidRDefault="00D71ED6" w:rsidP="00BB5BCD">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w:t>
      </w:r>
    </w:p>
    <w:p w14:paraId="65F83FB1" w14:textId="77777777" w:rsidR="00BB5BCD" w:rsidRPr="003A6EF6" w:rsidRDefault="00BB5BCD" w:rsidP="00BB5BCD">
      <w:pPr>
        <w:pStyle w:val="NoSpacing"/>
        <w:numPr>
          <w:ilvl w:val="0"/>
          <w:numId w:val="33"/>
        </w:numPr>
        <w:spacing w:before="120" w:after="120"/>
        <w:ind w:left="709" w:hanging="283"/>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 xml:space="preserve">being ‘defined by contract’; </w:t>
      </w:r>
      <w:r w:rsidRPr="003A6EF6">
        <w:rPr>
          <w:rFonts w:ascii="Arial" w:eastAsiaTheme="minorEastAsia" w:hAnsi="Arial" w:cs="Arial"/>
          <w:color w:val="000000" w:themeColor="text1"/>
          <w:kern w:val="24"/>
          <w:sz w:val="20"/>
          <w:szCs w:val="20"/>
          <w:lang w:eastAsia="en-GB"/>
        </w:rPr>
        <w:t>and</w:t>
      </w:r>
    </w:p>
    <w:p w14:paraId="7FB04E86" w14:textId="77777777" w:rsidR="00BB5BCD" w:rsidRPr="003A6EF6" w:rsidRDefault="00BB5BCD" w:rsidP="00BB5BCD">
      <w:pPr>
        <w:pStyle w:val="NoSpacing"/>
        <w:spacing w:before="120" w:after="120"/>
        <w:rPr>
          <w:rFonts w:ascii="Arial" w:eastAsia="Times New Roman" w:hAnsi="Arial" w:cs="Arial"/>
          <w:sz w:val="20"/>
          <w:szCs w:val="20"/>
          <w:lang w:eastAsia="en-GB"/>
        </w:rPr>
      </w:pPr>
      <w:r>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mportantly, although structured products can define both the potential risk and return of an investment, the repayment of money invested, and any potential returns </w:t>
      </w:r>
      <w:r>
        <w:rPr>
          <w:rFonts w:ascii="Arial" w:eastAsiaTheme="minorEastAsia" w:hAnsi="Arial" w:cs="Arial"/>
          <w:color w:val="000000" w:themeColor="text1"/>
          <w:kern w:val="24"/>
          <w:sz w:val="20"/>
          <w:szCs w:val="20"/>
          <w:lang w:eastAsia="en-GB"/>
        </w:rPr>
        <w:t>which</w:t>
      </w:r>
      <w:r w:rsidRPr="003A6EF6">
        <w:rPr>
          <w:rFonts w:ascii="Arial" w:eastAsiaTheme="minorEastAsia" w:hAnsi="Arial" w:cs="Arial"/>
          <w:color w:val="000000" w:themeColor="text1"/>
          <w:kern w:val="24"/>
          <w:sz w:val="20"/>
          <w:szCs w:val="20"/>
          <w:lang w:eastAsia="en-GB"/>
        </w:rPr>
        <w:t xml:space="preserve"> may </w:t>
      </w:r>
      <w:r>
        <w:rPr>
          <w:rFonts w:ascii="Arial" w:eastAsiaTheme="minorEastAsia" w:hAnsi="Arial" w:cs="Arial"/>
          <w:color w:val="000000" w:themeColor="text1"/>
          <w:kern w:val="24"/>
          <w:sz w:val="20"/>
          <w:szCs w:val="20"/>
          <w:lang w:eastAsia="en-GB"/>
        </w:rPr>
        <w:t xml:space="preserve">be </w:t>
      </w:r>
      <w:r w:rsidRPr="003A6EF6">
        <w:rPr>
          <w:rFonts w:ascii="Arial" w:eastAsiaTheme="minorEastAsia" w:hAnsi="Arial" w:cs="Arial"/>
          <w:color w:val="000000" w:themeColor="text1"/>
          <w:kern w:val="24"/>
          <w:sz w:val="20"/>
          <w:szCs w:val="20"/>
          <w:lang w:eastAsia="en-GB"/>
        </w:rPr>
        <w:t>generate</w:t>
      </w:r>
      <w:r>
        <w:rPr>
          <w:rFonts w:ascii="Arial" w:eastAsiaTheme="minorEastAsia" w:hAnsi="Arial" w:cs="Arial"/>
          <w:color w:val="000000" w:themeColor="text1"/>
          <w:kern w:val="24"/>
          <w:sz w:val="20"/>
          <w:szCs w:val="20"/>
          <w:lang w:eastAsia="en-GB"/>
        </w:rPr>
        <w:t>d</w:t>
      </w:r>
      <w:r w:rsidRPr="003A6EF6">
        <w:rPr>
          <w:rFonts w:ascii="Arial" w:eastAsiaTheme="minorEastAsia" w:hAnsi="Arial" w:cs="Arial"/>
          <w:color w:val="000000" w:themeColor="text1"/>
          <w:kern w:val="24"/>
          <w:sz w:val="20"/>
          <w:szCs w:val="20"/>
          <w:lang w:eastAsia="en-GB"/>
        </w:rPr>
        <w:t xml:space="preserve">, usually depend on the financial stability of the issuer </w:t>
      </w:r>
      <w:r>
        <w:rPr>
          <w:rFonts w:ascii="Arial" w:eastAsiaTheme="minorEastAsia" w:hAnsi="Arial" w:cs="Arial"/>
          <w:color w:val="000000" w:themeColor="text1"/>
          <w:kern w:val="24"/>
          <w:sz w:val="20"/>
          <w:szCs w:val="20"/>
          <w:lang w:eastAsia="en-GB"/>
        </w:rPr>
        <w:t xml:space="preserve">who stands behind the contract throughout the investment term, known as </w:t>
      </w:r>
      <w:r w:rsidRPr="003A6EF6">
        <w:rPr>
          <w:rFonts w:ascii="Arial" w:eastAsiaTheme="minorEastAsia" w:hAnsi="Arial" w:cs="Arial"/>
          <w:color w:val="000000" w:themeColor="text1"/>
          <w:kern w:val="24"/>
          <w:sz w:val="20"/>
          <w:szCs w:val="20"/>
          <w:lang w:eastAsia="en-GB"/>
        </w:rPr>
        <w:t>the counterparty bank. In other words, the issuer and counterparty bank mustn’t ‘go bust’. The risk of this is known as the ‘issuer / counterparty risk’.</w:t>
      </w:r>
    </w:p>
    <w:p w14:paraId="1FE66D1E" w14:textId="77777777" w:rsidR="007C515D" w:rsidRPr="003A6EF6" w:rsidRDefault="007C515D" w:rsidP="00AD76C2">
      <w:pPr>
        <w:pStyle w:val="NoSpacing"/>
        <w:spacing w:before="120" w:after="120"/>
        <w:rPr>
          <w:rFonts w:ascii="Arial" w:hAnsi="Arial" w:cs="Arial"/>
          <w:b/>
          <w:color w:val="000000"/>
          <w:sz w:val="20"/>
          <w:szCs w:val="20"/>
        </w:rPr>
      </w:pPr>
    </w:p>
    <w:p w14:paraId="7DDCD481" w14:textId="521AA8AB" w:rsidR="00D71ED6" w:rsidRPr="008C0EC5" w:rsidRDefault="00D71ED6" w:rsidP="008C0EC5">
      <w:pPr>
        <w:pStyle w:val="Heading1"/>
        <w:spacing w:before="360"/>
        <w:rPr>
          <w:rFonts w:ascii="Arial" w:hAnsi="Arial" w:cs="Arial"/>
          <w:b/>
          <w:bCs/>
          <w:color w:val="000000" w:themeColor="text1"/>
          <w:sz w:val="24"/>
          <w:szCs w:val="24"/>
        </w:rPr>
      </w:pPr>
      <w:bookmarkStart w:id="3" w:name="_Toc18054732"/>
      <w:r w:rsidRPr="008C0EC5">
        <w:rPr>
          <w:rFonts w:ascii="Arial" w:hAnsi="Arial" w:cs="Arial"/>
          <w:b/>
          <w:bCs/>
          <w:color w:val="000000" w:themeColor="text1"/>
          <w:sz w:val="24"/>
          <w:szCs w:val="24"/>
        </w:rPr>
        <w:lastRenderedPageBreak/>
        <w:t xml:space="preserve">Why </w:t>
      </w:r>
      <w:r w:rsidR="00723084" w:rsidRPr="008C0EC5">
        <w:rPr>
          <w:rFonts w:ascii="Arial" w:hAnsi="Arial" w:cs="Arial"/>
          <w:b/>
          <w:bCs/>
          <w:color w:val="000000" w:themeColor="text1"/>
          <w:sz w:val="24"/>
          <w:szCs w:val="24"/>
        </w:rPr>
        <w:t xml:space="preserve">we </w:t>
      </w:r>
      <w:r w:rsidR="0042421D" w:rsidRPr="008C0EC5">
        <w:rPr>
          <w:rFonts w:ascii="Arial" w:hAnsi="Arial" w:cs="Arial"/>
          <w:b/>
          <w:bCs/>
          <w:color w:val="000000" w:themeColor="text1"/>
          <w:sz w:val="24"/>
          <w:szCs w:val="24"/>
        </w:rPr>
        <w:t xml:space="preserve">are recommending </w:t>
      </w:r>
      <w:r w:rsidRPr="008C0EC5">
        <w:rPr>
          <w:rFonts w:ascii="Arial" w:hAnsi="Arial" w:cs="Arial"/>
          <w:b/>
          <w:bCs/>
          <w:color w:val="000000" w:themeColor="text1"/>
          <w:sz w:val="24"/>
          <w:szCs w:val="24"/>
        </w:rPr>
        <w:t>a structured product</w:t>
      </w:r>
      <w:bookmarkEnd w:id="3"/>
      <w:r w:rsidR="00A87F41" w:rsidRPr="008C0EC5">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6A6B70E8" w14:textId="77777777" w:rsidR="00BB5BCD"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w:t>
      </w:r>
    </w:p>
    <w:p w14:paraId="2DD82F93" w14:textId="06994C88"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However, stock markets have now become more challenging</w:t>
      </w:r>
      <w:r w:rsidR="00BB5BCD">
        <w:rPr>
          <w:rFonts w:ascii="Arial" w:hAnsi="Arial" w:cs="Arial"/>
          <w:sz w:val="20"/>
          <w:szCs w:val="20"/>
        </w:rPr>
        <w:t xml:space="preserve"> with the current Covid-19 crisis</w:t>
      </w:r>
      <w:r w:rsidRPr="003A6EF6">
        <w:rPr>
          <w:rFonts w:ascii="Arial" w:hAnsi="Arial" w:cs="Arial"/>
          <w:sz w:val="20"/>
          <w:szCs w:val="20"/>
        </w:rPr>
        <w:t>.</w:t>
      </w:r>
    </w:p>
    <w:p w14:paraId="29CCAB65" w14:textId="6CCC34FB" w:rsidR="00B71CBF" w:rsidRDefault="00B71CBF" w:rsidP="00A133D9">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7119723F" w14:textId="15C16F07" w:rsidR="00BB5BCD" w:rsidRPr="00A133D9" w:rsidRDefault="00BB5BCD" w:rsidP="00A133D9">
      <w:pPr>
        <w:spacing w:before="120" w:after="120" w:line="240" w:lineRule="auto"/>
        <w:ind w:right="-330"/>
        <w:rPr>
          <w:rFonts w:ascii="Arial" w:hAnsi="Arial" w:cs="Arial"/>
          <w:color w:val="000000"/>
          <w:sz w:val="20"/>
          <w:szCs w:val="20"/>
        </w:rPr>
      </w:pPr>
      <w:r>
        <w:rPr>
          <w:rFonts w:ascii="Arial" w:hAnsi="Arial" w:cs="Arial"/>
          <w:sz w:val="20"/>
          <w:szCs w:val="20"/>
          <w:lang w:eastAsia="en-GB"/>
        </w:rPr>
        <w:t>The Covid-19 crisis and economic outlook have only added to our views regarding this.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C91CEC2" w14:textId="2802126E" w:rsidR="00B71CBF" w:rsidRPr="008C0EC5" w:rsidRDefault="005B3645" w:rsidP="008C0EC5">
      <w:pPr>
        <w:pStyle w:val="NoSpacing"/>
        <w:numPr>
          <w:ilvl w:val="0"/>
          <w:numId w:val="7"/>
        </w:numPr>
        <w:spacing w:before="120" w:after="120"/>
        <w:rPr>
          <w:rFonts w:ascii="Arial" w:hAnsi="Arial" w:cs="Arial"/>
          <w:sz w:val="20"/>
          <w:szCs w:val="20"/>
          <w:lang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63B0BFDA" w14:textId="3D802F0E" w:rsidR="00AF4CB7" w:rsidRPr="008C0EC5" w:rsidRDefault="000E001C" w:rsidP="008C0EC5">
      <w:pPr>
        <w:pStyle w:val="Heading1"/>
        <w:spacing w:before="360"/>
        <w:rPr>
          <w:rFonts w:ascii="Arial" w:eastAsia="Times New Roman" w:hAnsi="Arial" w:cs="Arial"/>
          <w:b/>
          <w:bCs/>
          <w:color w:val="000000" w:themeColor="text1"/>
          <w:sz w:val="24"/>
          <w:szCs w:val="24"/>
          <w:lang w:eastAsia="en-GB"/>
        </w:rPr>
      </w:pPr>
      <w:bookmarkStart w:id="4" w:name="_Toc18054733"/>
      <w:r w:rsidRPr="008C0EC5">
        <w:rPr>
          <w:rFonts w:ascii="Arial" w:eastAsia="Times New Roman" w:hAnsi="Arial" w:cs="Arial"/>
          <w:b/>
          <w:bCs/>
          <w:color w:val="000000" w:themeColor="text1"/>
          <w:sz w:val="24"/>
          <w:szCs w:val="24"/>
          <w:lang w:eastAsia="en-GB"/>
        </w:rPr>
        <w:t>Diversification is key</w:t>
      </w:r>
      <w:bookmarkEnd w:id="4"/>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w:t>
      </w:r>
      <w:r w:rsidRPr="003A6EF6">
        <w:rPr>
          <w:rFonts w:ascii="Arial" w:eastAsia="Times New Roman" w:hAnsi="Arial" w:cs="Arial"/>
          <w:sz w:val="20"/>
          <w:szCs w:val="20"/>
          <w:lang w:eastAsia="en-GB"/>
        </w:rPr>
        <w:lastRenderedPageBreak/>
        <w:t>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5F71F8" w:rsidR="00845DE2" w:rsidRPr="008C0EC5" w:rsidRDefault="00845DE2" w:rsidP="008C0EC5">
      <w:pPr>
        <w:pStyle w:val="Heading1"/>
        <w:spacing w:before="360"/>
        <w:rPr>
          <w:rFonts w:ascii="Arial" w:hAnsi="Arial" w:cs="Arial"/>
          <w:b/>
          <w:bCs/>
          <w:color w:val="000000" w:themeColor="text1"/>
          <w:sz w:val="24"/>
          <w:szCs w:val="24"/>
        </w:rPr>
      </w:pPr>
      <w:bookmarkStart w:id="5" w:name="_Toc18054734"/>
      <w:r w:rsidRPr="008C0EC5">
        <w:rPr>
          <w:rFonts w:ascii="Arial" w:hAnsi="Arial" w:cs="Arial"/>
          <w:b/>
          <w:bCs/>
          <w:color w:val="000000" w:themeColor="text1"/>
          <w:sz w:val="24"/>
          <w:szCs w:val="24"/>
        </w:rPr>
        <w:t>The details, features and risks of the plan</w:t>
      </w:r>
      <w:bookmarkEnd w:id="5"/>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01E97E50" w14:textId="0C2A9EF2" w:rsidR="00E0572F" w:rsidRPr="003A6EF6" w:rsidRDefault="00E0572F" w:rsidP="000A2C78">
      <w:pPr>
        <w:pStyle w:val="NoSpacing"/>
        <w:spacing w:before="120" w:after="120"/>
        <w:rPr>
          <w:rFonts w:ascii="Arial" w:hAnsi="Arial" w:cs="Arial"/>
          <w:sz w:val="20"/>
          <w:szCs w:val="20"/>
        </w:rPr>
      </w:pPr>
      <w:r w:rsidRPr="003A6EF6">
        <w:rPr>
          <w:rFonts w:ascii="Arial" w:hAnsi="Arial" w:cs="Arial"/>
          <w:sz w:val="20"/>
          <w:szCs w:val="20"/>
        </w:rPr>
        <w:t xml:space="preserve">Option </w:t>
      </w:r>
      <w:r w:rsidR="008C1CE1">
        <w:rPr>
          <w:rFonts w:ascii="Arial" w:hAnsi="Arial" w:cs="Arial"/>
          <w:sz w:val="20"/>
          <w:szCs w:val="20"/>
        </w:rPr>
        <w:t>3</w:t>
      </w:r>
      <w:r w:rsidR="00182218" w:rsidRPr="003A6EF6">
        <w:rPr>
          <w:rFonts w:ascii="Arial" w:hAnsi="Arial" w:cs="Arial"/>
          <w:sz w:val="20"/>
          <w:szCs w:val="20"/>
        </w:rPr>
        <w:t xml:space="preserve"> </w:t>
      </w:r>
      <w:r w:rsidRPr="003A6EF6">
        <w:rPr>
          <w:rFonts w:ascii="Arial" w:hAnsi="Arial" w:cs="Arial"/>
          <w:sz w:val="20"/>
          <w:szCs w:val="20"/>
        </w:rPr>
        <w:t xml:space="preserve">will generate a fixed return of </w:t>
      </w:r>
      <w:r w:rsidR="00F24DAD">
        <w:rPr>
          <w:rFonts w:ascii="Arial" w:hAnsi="Arial" w:cs="Arial"/>
          <w:sz w:val="20"/>
          <w:szCs w:val="20"/>
        </w:rPr>
        <w:t>11.65</w:t>
      </w:r>
      <w:r w:rsidR="00954F33">
        <w:rPr>
          <w:rFonts w:ascii="Arial" w:hAnsi="Arial" w:cs="Arial"/>
          <w:sz w:val="20"/>
          <w:szCs w:val="20"/>
        </w:rPr>
        <w:t>%</w:t>
      </w:r>
      <w:r w:rsidRPr="003A6EF6">
        <w:rPr>
          <w:rFonts w:ascii="Arial" w:hAnsi="Arial" w:cs="Arial"/>
          <w:sz w:val="20"/>
          <w:szCs w:val="20"/>
        </w:rPr>
        <w:t xml:space="preserve"> per year, that accumulates </w:t>
      </w:r>
      <w:r w:rsidR="00353D40" w:rsidRPr="003A6EF6">
        <w:rPr>
          <w:rFonts w:ascii="Arial" w:hAnsi="Arial" w:cs="Arial"/>
          <w:sz w:val="20"/>
          <w:szCs w:val="20"/>
        </w:rPr>
        <w:t>(</w:t>
      </w:r>
      <w:r w:rsidR="00B76A04" w:rsidRPr="003A6EF6">
        <w:rPr>
          <w:rFonts w:ascii="Arial" w:hAnsi="Arial" w:cs="Arial"/>
          <w:sz w:val="20"/>
          <w:szCs w:val="20"/>
        </w:rPr>
        <w:t xml:space="preserve">in other words, </w:t>
      </w:r>
      <w:r w:rsidR="00353D40" w:rsidRPr="003A6EF6">
        <w:rPr>
          <w:rFonts w:ascii="Arial" w:hAnsi="Arial" w:cs="Arial"/>
          <w:sz w:val="20"/>
          <w:szCs w:val="20"/>
        </w:rPr>
        <w:t xml:space="preserve">builds up) </w:t>
      </w:r>
      <w:r w:rsidRPr="003A6EF6">
        <w:rPr>
          <w:rFonts w:ascii="Arial" w:hAnsi="Arial" w:cs="Arial"/>
          <w:sz w:val="20"/>
          <w:szCs w:val="20"/>
        </w:rPr>
        <w:t xml:space="preserve">for each year that the plan runs, and is paid if the FTSE 100 FDEW closes at or above </w:t>
      </w:r>
      <w:r w:rsidR="008C1CE1">
        <w:rPr>
          <w:rFonts w:ascii="Arial" w:hAnsi="Arial" w:cs="Arial"/>
          <w:sz w:val="20"/>
          <w:szCs w:val="20"/>
        </w:rPr>
        <w:t>100%</w:t>
      </w:r>
      <w:r w:rsidRPr="003A6EF6">
        <w:rPr>
          <w:rFonts w:ascii="Arial" w:hAnsi="Arial" w:cs="Arial"/>
          <w:sz w:val="20"/>
          <w:szCs w:val="20"/>
        </w:rPr>
        <w:t xml:space="preserve"> of the start level on one of the </w:t>
      </w:r>
      <w:r w:rsidR="000E55C6" w:rsidRPr="003A6EF6">
        <w:rPr>
          <w:rFonts w:ascii="Arial" w:hAnsi="Arial" w:cs="Arial"/>
          <w:sz w:val="20"/>
          <w:szCs w:val="20"/>
        </w:rPr>
        <w:t>‘</w:t>
      </w:r>
      <w:r w:rsidRPr="003A6EF6">
        <w:rPr>
          <w:rFonts w:ascii="Arial" w:hAnsi="Arial" w:cs="Arial"/>
          <w:sz w:val="20"/>
          <w:szCs w:val="20"/>
        </w:rPr>
        <w:t>kick</w:t>
      </w:r>
      <w:r w:rsidR="0014701E" w:rsidRPr="003A6EF6">
        <w:rPr>
          <w:rFonts w:ascii="Arial" w:hAnsi="Arial" w:cs="Arial"/>
          <w:sz w:val="20"/>
          <w:szCs w:val="20"/>
        </w:rPr>
        <w:t>-</w:t>
      </w:r>
      <w:r w:rsidRPr="003A6EF6">
        <w:rPr>
          <w:rFonts w:ascii="Arial" w:hAnsi="Arial" w:cs="Arial"/>
          <w:sz w:val="20"/>
          <w:szCs w:val="20"/>
        </w:rPr>
        <w:t>out</w:t>
      </w:r>
      <w:r w:rsidR="000E55C6" w:rsidRPr="003A6EF6">
        <w:rPr>
          <w:rFonts w:ascii="Arial" w:hAnsi="Arial" w:cs="Arial"/>
          <w:sz w:val="20"/>
          <w:szCs w:val="20"/>
        </w:rPr>
        <w:t>’</w:t>
      </w:r>
      <w:r w:rsidRPr="003A6EF6">
        <w:rPr>
          <w:rFonts w:ascii="Arial" w:hAnsi="Arial" w:cs="Arial"/>
          <w:sz w:val="20"/>
          <w:szCs w:val="20"/>
        </w:rPr>
        <w:t xml:space="preserve">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5A205812"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FDEW can fall by up to </w:t>
      </w:r>
      <w:r w:rsidR="00F24DAD">
        <w:rPr>
          <w:rFonts w:ascii="Arial" w:hAnsi="Arial" w:cs="Arial"/>
          <w:sz w:val="20"/>
          <w:szCs w:val="20"/>
        </w:rPr>
        <w:t>50</w:t>
      </w:r>
      <w:r w:rsidR="00451685">
        <w:rPr>
          <w:rFonts w:ascii="Arial" w:hAnsi="Arial" w:cs="Arial"/>
          <w:sz w:val="20"/>
          <w:szCs w:val="20"/>
        </w:rPr>
        <w:t>%</w:t>
      </w:r>
      <w:r w:rsidRPr="003A6EF6">
        <w:rPr>
          <w:rFonts w:ascii="Arial" w:hAnsi="Arial" w:cs="Arial"/>
          <w:sz w:val="20"/>
          <w:szCs w:val="20"/>
        </w:rPr>
        <w:t xml:space="preserve"> from the start level without causing any of your original investment to be lost on the end date.</w:t>
      </w:r>
    </w:p>
    <w:p w14:paraId="107FF19C" w14:textId="0CDBE186" w:rsidR="00182218" w:rsidRPr="008C0EC5" w:rsidRDefault="00487E63" w:rsidP="008C0EC5">
      <w:pPr>
        <w:pStyle w:val="Heading1"/>
        <w:spacing w:before="360"/>
        <w:rPr>
          <w:rFonts w:ascii="Arial" w:hAnsi="Arial" w:cs="Arial"/>
          <w:b/>
          <w:bCs/>
          <w:color w:val="000000" w:themeColor="text1"/>
          <w:sz w:val="24"/>
          <w:szCs w:val="24"/>
        </w:rPr>
      </w:pPr>
      <w:bookmarkStart w:id="6" w:name="_Toc18054735"/>
      <w:r w:rsidRPr="008C0EC5">
        <w:rPr>
          <w:rFonts w:ascii="Arial" w:hAnsi="Arial" w:cs="Arial"/>
          <w:b/>
          <w:bCs/>
          <w:color w:val="000000" w:themeColor="text1"/>
          <w:sz w:val="24"/>
          <w:szCs w:val="24"/>
        </w:rPr>
        <w:t>I</w:t>
      </w:r>
      <w:r w:rsidR="00182218" w:rsidRPr="008C0EC5">
        <w:rPr>
          <w:rFonts w:ascii="Arial" w:hAnsi="Arial" w:cs="Arial"/>
          <w:b/>
          <w:bCs/>
          <w:color w:val="000000" w:themeColor="text1"/>
          <w:sz w:val="24"/>
          <w:szCs w:val="24"/>
        </w:rPr>
        <w:t xml:space="preserve">t is important to </w:t>
      </w:r>
      <w:r w:rsidRPr="008C0EC5">
        <w:rPr>
          <w:rFonts w:ascii="Arial" w:hAnsi="Arial" w:cs="Arial"/>
          <w:b/>
          <w:bCs/>
          <w:color w:val="000000" w:themeColor="text1"/>
          <w:sz w:val="24"/>
          <w:szCs w:val="24"/>
        </w:rPr>
        <w:t>understand</w:t>
      </w:r>
      <w:r w:rsidR="00182218" w:rsidRPr="008C0EC5">
        <w:rPr>
          <w:rFonts w:ascii="Arial" w:hAnsi="Arial" w:cs="Arial"/>
          <w:b/>
          <w:bCs/>
          <w:color w:val="000000" w:themeColor="text1"/>
          <w:sz w:val="24"/>
          <w:szCs w:val="24"/>
        </w:rPr>
        <w:t xml:space="preserve"> that investing in the plan is not without risk</w:t>
      </w:r>
      <w:bookmarkEnd w:id="6"/>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6A67774B"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8C1CE1">
        <w:rPr>
          <w:rFonts w:ascii="Arial" w:hAnsi="Arial" w:cs="Arial"/>
          <w:color w:val="000000"/>
          <w:sz w:val="20"/>
          <w:szCs w:val="20"/>
        </w:rPr>
        <w:t>3</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25DF802F"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FDEW closes more than </w:t>
      </w:r>
      <w:r w:rsidR="00F24DAD">
        <w:rPr>
          <w:rFonts w:ascii="Arial" w:hAnsi="Arial" w:cs="Arial"/>
          <w:sz w:val="20"/>
          <w:szCs w:val="20"/>
        </w:rPr>
        <w:t>50</w:t>
      </w:r>
      <w:r w:rsidR="00451685">
        <w:rPr>
          <w:rFonts w:ascii="Arial" w:hAnsi="Arial" w:cs="Arial"/>
          <w:sz w:val="20"/>
          <w:szCs w:val="20"/>
        </w:rPr>
        <w:t>%</w:t>
      </w:r>
      <w:r w:rsidRPr="003A6EF6">
        <w:rPr>
          <w:rFonts w:ascii="Arial" w:hAnsi="Arial" w:cs="Arial"/>
          <w:sz w:val="20"/>
          <w:szCs w:val="20"/>
        </w:rPr>
        <w:t xml:space="preserve"> below the start level on the end date.</w:t>
      </w:r>
    </w:p>
    <w:p w14:paraId="2D7E2ECE" w14:textId="0A455628"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00F24DAD">
        <w:rPr>
          <w:rFonts w:ascii="Arial" w:hAnsi="Arial" w:cs="Arial"/>
          <w:bCs/>
          <w:sz w:val="20"/>
          <w:szCs w:val="20"/>
        </w:rPr>
        <w:t>50</w:t>
      </w:r>
      <w:r w:rsidR="00451685">
        <w:rPr>
          <w:rFonts w:ascii="Arial" w:hAnsi="Arial" w:cs="Arial"/>
          <w:bCs/>
          <w:sz w:val="20"/>
          <w:szCs w:val="20"/>
        </w:rPr>
        <w:t>%</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FDEW and you will get back less than you invested. For example, if the FTSE 100 FDEW is at </w:t>
      </w:r>
      <w:r w:rsidR="00451685">
        <w:rPr>
          <w:rFonts w:ascii="Arial" w:hAnsi="Arial" w:cs="Arial"/>
          <w:sz w:val="20"/>
          <w:szCs w:val="20"/>
        </w:rPr>
        <w:t>20</w:t>
      </w:r>
      <w:r w:rsidRPr="003A6EF6">
        <w:rPr>
          <w:rFonts w:ascii="Arial" w:hAnsi="Arial" w:cs="Arial"/>
          <w:sz w:val="20"/>
          <w:szCs w:val="20"/>
        </w:rPr>
        <w:t xml:space="preserve">% of the start level, you will get back </w:t>
      </w:r>
      <w:r w:rsidR="00451685">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17AABD87" w:rsidR="00487E63" w:rsidRPr="008C0EC5" w:rsidRDefault="00DF1E88" w:rsidP="008C0EC5">
      <w:pPr>
        <w:pStyle w:val="Heading1"/>
        <w:spacing w:before="360"/>
        <w:rPr>
          <w:rFonts w:ascii="Arial" w:hAnsi="Arial" w:cs="Arial"/>
          <w:b/>
          <w:bCs/>
          <w:color w:val="000000" w:themeColor="text1"/>
          <w:sz w:val="24"/>
          <w:szCs w:val="24"/>
        </w:rPr>
      </w:pPr>
      <w:bookmarkStart w:id="7" w:name="_Toc18054736"/>
      <w:r w:rsidRPr="008C0EC5">
        <w:rPr>
          <w:rFonts w:ascii="Arial" w:hAnsi="Arial" w:cs="Arial"/>
          <w:b/>
          <w:bCs/>
          <w:color w:val="000000" w:themeColor="text1"/>
          <w:sz w:val="24"/>
          <w:szCs w:val="24"/>
        </w:rPr>
        <w:t>The FTSE 100 FDEW</w:t>
      </w:r>
      <w:bookmarkEnd w:id="7"/>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78D9908E"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w:t>
      </w:r>
      <w:r w:rsidR="00FB6AF9">
        <w:rPr>
          <w:rFonts w:ascii="Arial" w:hAnsi="Arial" w:cs="Arial"/>
          <w:sz w:val="20"/>
          <w:szCs w:val="20"/>
        </w:rPr>
        <w:t>which</w:t>
      </w:r>
      <w:r w:rsidR="00FB6AF9" w:rsidRPr="003A6EF6">
        <w:rPr>
          <w:rFonts w:ascii="Arial" w:hAnsi="Arial" w:cs="Arial"/>
          <w:sz w:val="20"/>
          <w:szCs w:val="20"/>
        </w:rPr>
        <w:t xml:space="preserve"> </w:t>
      </w:r>
      <w:r w:rsidRPr="003A6EF6">
        <w:rPr>
          <w:rFonts w:ascii="Arial" w:hAnsi="Arial" w:cs="Arial"/>
          <w:sz w:val="20"/>
          <w:szCs w:val="20"/>
        </w:rPr>
        <w:t xml:space="preserve">make up the FTSE 100. However, as its name suggests, the FTSE 100 FDEW is different to the FTSE 100 in two important ways: </w:t>
      </w:r>
    </w:p>
    <w:p w14:paraId="46FF2AFE" w14:textId="4D8B84E8"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100 shares in the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00040ACC"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2B22797E" w:rsidR="00487E63" w:rsidRPr="00A133D9" w:rsidRDefault="00433049" w:rsidP="00A133D9">
      <w:pPr>
        <w:pStyle w:val="NoSpacing"/>
        <w:numPr>
          <w:ilvl w:val="0"/>
          <w:numId w:val="22"/>
        </w:numPr>
        <w:spacing w:before="120" w:after="120"/>
        <w:rPr>
          <w:rFonts w:ascii="Arial" w:hAnsi="Arial" w:cs="Arial"/>
          <w:sz w:val="20"/>
          <w:szCs w:val="20"/>
        </w:rPr>
      </w:pPr>
      <w:r>
        <w:rPr>
          <w:rFonts w:ascii="Arial" w:hAnsi="Arial" w:cs="Arial"/>
          <w:sz w:val="20"/>
          <w:szCs w:val="20"/>
        </w:rPr>
        <w:t>t</w:t>
      </w:r>
      <w:r w:rsidR="00CB02E3" w:rsidRPr="003A6EF6">
        <w:rPr>
          <w:rFonts w:ascii="Arial" w:hAnsi="Arial" w:cs="Arial"/>
          <w:sz w:val="20"/>
          <w:szCs w:val="20"/>
        </w:rPr>
        <w:t xml:space="preserve">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is based on a total return index. This means that all of the dividends paid by the companies are included in the </w:t>
      </w:r>
      <w:r w:rsidR="00451685">
        <w:rPr>
          <w:rFonts w:ascii="Arial" w:hAnsi="Arial" w:cs="Arial"/>
          <w:sz w:val="20"/>
          <w:szCs w:val="20"/>
        </w:rPr>
        <w:t>FTSE 100 FDEW</w:t>
      </w:r>
      <w:r w:rsidR="00CB02E3" w:rsidRPr="003A6EF6">
        <w:rPr>
          <w:rFonts w:ascii="Arial" w:hAnsi="Arial" w:cs="Arial"/>
          <w:sz w:val="20"/>
          <w:szCs w:val="20"/>
        </w:rPr>
        <w:t xml:space="preserve">.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w:t>
      </w:r>
      <w:r w:rsidR="00451685">
        <w:rPr>
          <w:rFonts w:ascii="Arial" w:hAnsi="Arial" w:cs="Arial"/>
          <w:sz w:val="20"/>
          <w:szCs w:val="20"/>
        </w:rPr>
        <w:t>FTSE 100 FDEW</w:t>
      </w:r>
      <w:r w:rsidR="00451685" w:rsidRPr="003A6EF6">
        <w:rPr>
          <w:rFonts w:ascii="Arial" w:hAnsi="Arial" w:cs="Arial"/>
          <w:sz w:val="20"/>
          <w:szCs w:val="20"/>
        </w:rPr>
        <w:t xml:space="preserve"> </w:t>
      </w:r>
      <w:r w:rsidR="00CB02E3" w:rsidRPr="003A6EF6">
        <w:rPr>
          <w:rFonts w:ascii="Arial" w:hAnsi="Arial" w:cs="Arial"/>
          <w:sz w:val="20"/>
          <w:szCs w:val="20"/>
        </w:rPr>
        <w:t xml:space="preserve">level. </w:t>
      </w:r>
    </w:p>
    <w:p w14:paraId="1F7F0FB2" w14:textId="12932141" w:rsidR="00BB5BCD" w:rsidRPr="003A6EF6" w:rsidRDefault="00CB02E3" w:rsidP="00BB5BCD">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 xml:space="preserve">100, where dividends are not included. The fixed dividend of 50 points per year may be more than the average level of dividends paid by the companies in the </w:t>
      </w:r>
      <w:r w:rsidR="00451685">
        <w:rPr>
          <w:rFonts w:ascii="Arial" w:hAnsi="Arial" w:cs="Arial"/>
          <w:sz w:val="20"/>
          <w:szCs w:val="20"/>
        </w:rPr>
        <w:t>FTSE 100 FDEW</w:t>
      </w:r>
      <w:r w:rsidRPr="003A6EF6">
        <w:rPr>
          <w:rFonts w:ascii="Arial" w:hAnsi="Arial" w:cs="Arial"/>
          <w:sz w:val="20"/>
          <w:szCs w:val="20"/>
        </w:rPr>
        <w:t xml:space="preserve">, which would reduce the level and performance of the </w:t>
      </w:r>
      <w:r w:rsidR="00451685">
        <w:rPr>
          <w:rFonts w:ascii="Arial" w:hAnsi="Arial" w:cs="Arial"/>
          <w:sz w:val="20"/>
          <w:szCs w:val="20"/>
        </w:rPr>
        <w:t>FTSE 100 FDEW</w:t>
      </w:r>
      <w:r w:rsidRPr="003A6EF6">
        <w:rPr>
          <w:rFonts w:ascii="Arial" w:hAnsi="Arial" w:cs="Arial"/>
          <w:sz w:val="20"/>
          <w:szCs w:val="20"/>
        </w:rPr>
        <w:t xml:space="preserve">. While the fixed dividend approach can help provide higher potential returns or lower risks for structured products, it can affect the level and performance of the index negatively, including </w:t>
      </w:r>
      <w:r w:rsidR="00924D6A">
        <w:rPr>
          <w:rFonts w:ascii="Arial" w:hAnsi="Arial" w:cs="Arial"/>
          <w:sz w:val="20"/>
          <w:szCs w:val="20"/>
        </w:rPr>
        <w:t>at times</w:t>
      </w:r>
      <w:r w:rsidRPr="003A6EF6">
        <w:rPr>
          <w:rFonts w:ascii="Arial" w:hAnsi="Arial" w:cs="Arial"/>
          <w:sz w:val="20"/>
          <w:szCs w:val="20"/>
        </w:rPr>
        <w:t xml:space="preserve"> when the UK stock market moves sideways or falls</w:t>
      </w:r>
      <w:r w:rsidR="00BB5BCD">
        <w:rPr>
          <w:rFonts w:ascii="Arial" w:hAnsi="Arial" w:cs="Arial"/>
          <w:sz w:val="20"/>
          <w:szCs w:val="20"/>
        </w:rPr>
        <w:t>, and when companies in the FTSE 100 FDEW reduce the level of the dividends which they pay</w:t>
      </w:r>
      <w:r w:rsidR="00BB5BCD" w:rsidRPr="003A6EF6">
        <w:rPr>
          <w:rFonts w:ascii="Arial" w:hAnsi="Arial" w:cs="Arial"/>
          <w:sz w:val="20"/>
          <w:szCs w:val="20"/>
        </w:rPr>
        <w:t>.</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2094F90" w14:textId="5550A881" w:rsidR="00BB5BCD" w:rsidRDefault="003C0D12" w:rsidP="00BB5BCD">
      <w:pPr>
        <w:pStyle w:val="NoSpacing"/>
        <w:spacing w:before="120" w:after="120"/>
        <w:rPr>
          <w:rFonts w:ascii="Arial" w:hAnsi="Arial" w:cs="Arial"/>
          <w:sz w:val="20"/>
          <w:szCs w:val="20"/>
        </w:rPr>
      </w:pPr>
      <w:bookmarkStart w:id="8" w:name="_Hlk40113523"/>
      <w:r>
        <w:rPr>
          <w:rFonts w:ascii="Arial" w:hAnsi="Arial" w:cs="Arial"/>
          <w:b/>
          <w:bCs/>
          <w:sz w:val="20"/>
          <w:szCs w:val="20"/>
        </w:rPr>
        <w:t>It</w:t>
      </w:r>
      <w:r w:rsidR="00BB5BCD" w:rsidRPr="000C78A4">
        <w:rPr>
          <w:rFonts w:ascii="Arial" w:hAnsi="Arial" w:cs="Arial"/>
          <w:b/>
          <w:bCs/>
          <w:sz w:val="20"/>
          <w:szCs w:val="20"/>
        </w:rPr>
        <w:t xml:space="preserve"> is important that you carefully consider the current level of the FTSE 100 FDEW</w:t>
      </w:r>
      <w:r>
        <w:rPr>
          <w:rFonts w:ascii="Arial" w:hAnsi="Arial" w:cs="Arial"/>
          <w:b/>
          <w:bCs/>
          <w:sz w:val="20"/>
          <w:szCs w:val="20"/>
        </w:rPr>
        <w:t>,</w:t>
      </w:r>
      <w:r w:rsidR="00BB5BCD"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00BB5BCD" w:rsidRPr="000C78A4">
        <w:rPr>
          <w:rFonts w:ascii="Arial" w:hAnsi="Arial" w:cs="Arial"/>
          <w:b/>
          <w:bCs/>
          <w:sz w:val="20"/>
          <w:szCs w:val="20"/>
        </w:rPr>
        <w:t>.</w:t>
      </w:r>
      <w:r w:rsidR="00BB5BCD">
        <w:rPr>
          <w:rFonts w:ascii="Arial" w:hAnsi="Arial" w:cs="Arial"/>
          <w:sz w:val="20"/>
          <w:szCs w:val="20"/>
        </w:rPr>
        <w:t xml:space="preserve"> </w:t>
      </w:r>
      <w:r w:rsidR="00BB5BCD" w:rsidRPr="003A6EF6">
        <w:rPr>
          <w:rFonts w:ascii="Arial" w:hAnsi="Arial" w:cs="Arial"/>
          <w:b/>
          <w:sz w:val="20"/>
          <w:szCs w:val="20"/>
        </w:rPr>
        <w:t xml:space="preserve">You can find </w:t>
      </w:r>
      <w:r w:rsidR="00BB5BCD" w:rsidRPr="000C78A4">
        <w:rPr>
          <w:rFonts w:ascii="Arial" w:hAnsi="Arial" w:cs="Arial"/>
          <w:b/>
          <w:sz w:val="20"/>
          <w:szCs w:val="20"/>
        </w:rPr>
        <w:t xml:space="preserve">information about this </w:t>
      </w:r>
      <w:r w:rsidR="00BB5BCD" w:rsidRPr="000C78A4">
        <w:rPr>
          <w:rFonts w:ascii="Arial" w:hAnsi="Arial" w:cs="Arial"/>
          <w:b/>
          <w:bCs/>
          <w:sz w:val="20"/>
          <w:szCs w:val="20"/>
        </w:rPr>
        <w:t>and</w:t>
      </w:r>
      <w:r w:rsidR="00BB5BCD">
        <w:rPr>
          <w:rFonts w:ascii="Arial" w:hAnsi="Arial" w:cs="Arial"/>
          <w:sz w:val="20"/>
          <w:szCs w:val="20"/>
        </w:rPr>
        <w:t xml:space="preserve"> </w:t>
      </w:r>
      <w:r w:rsidR="00BB5BCD" w:rsidRPr="003A6EF6">
        <w:rPr>
          <w:rFonts w:ascii="Arial" w:hAnsi="Arial" w:cs="Arial"/>
          <w:b/>
          <w:sz w:val="20"/>
          <w:szCs w:val="20"/>
        </w:rPr>
        <w:t>a full explanation of the FTSE 100 FDEW, including what is meant by ‘equal weight’ and ‘fixed dividend’, on pages 9, 10 and 11 of the plan brochure.</w:t>
      </w:r>
      <w:r w:rsidR="00BB5BCD" w:rsidRPr="000C78A4">
        <w:rPr>
          <w:rFonts w:ascii="Arial" w:hAnsi="Arial" w:cs="Arial"/>
          <w:sz w:val="20"/>
          <w:szCs w:val="20"/>
        </w:rPr>
        <w:t xml:space="preserve"> </w:t>
      </w:r>
    </w:p>
    <w:p w14:paraId="4A3E1AA2" w14:textId="77777777" w:rsidR="00BB5BCD" w:rsidRPr="000C78A4" w:rsidRDefault="00BB5BCD" w:rsidP="00BB5BCD">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FDEW, over the medium to long term.</w:t>
      </w:r>
    </w:p>
    <w:bookmarkEnd w:id="8"/>
    <w:p w14:paraId="30F5922D" w14:textId="211AC788"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w:t>
      </w:r>
      <w:r w:rsidR="00451685">
        <w:rPr>
          <w:rFonts w:ascii="Arial" w:hAnsi="Arial" w:cs="Arial"/>
          <w:sz w:val="20"/>
          <w:szCs w:val="20"/>
        </w:rPr>
        <w:t>FTSE 100 FDEW</w:t>
      </w:r>
      <w:r w:rsidR="00451685" w:rsidRPr="003A6EF6">
        <w:rPr>
          <w:rFonts w:ascii="Arial" w:hAnsi="Arial" w:cs="Arial"/>
          <w:sz w:val="20"/>
          <w:szCs w:val="20"/>
        </w:rPr>
        <w:t xml:space="preserve"> </w:t>
      </w:r>
      <w:r w:rsidRPr="003A6EF6">
        <w:rPr>
          <w:rFonts w:ascii="Arial" w:hAnsi="Arial" w:cs="Arial"/>
          <w:sz w:val="20"/>
          <w:szCs w:val="20"/>
        </w:rPr>
        <w:t xml:space="preserve">and FTSE Russell by visiting their website: </w:t>
      </w:r>
      <w:hyperlink r:id="rId11"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46E05C9F" w14:textId="35CD7C71" w:rsidR="00EB19DF" w:rsidRPr="008C0EC5" w:rsidRDefault="00CB02E3" w:rsidP="008C0EC5">
      <w:pPr>
        <w:pStyle w:val="Heading1"/>
        <w:spacing w:before="360" w:after="120"/>
        <w:rPr>
          <w:rFonts w:ascii="Arial" w:hAnsi="Arial" w:cs="Arial"/>
          <w:b/>
          <w:bCs/>
          <w:color w:val="000000" w:themeColor="text1"/>
          <w:sz w:val="24"/>
          <w:szCs w:val="24"/>
        </w:rPr>
      </w:pPr>
      <w:bookmarkStart w:id="9" w:name="_Toc18054737"/>
      <w:r w:rsidRPr="008C0EC5">
        <w:rPr>
          <w:rFonts w:ascii="Arial" w:hAnsi="Arial" w:cs="Arial"/>
          <w:b/>
          <w:bCs/>
          <w:color w:val="000000" w:themeColor="text1"/>
          <w:sz w:val="24"/>
          <w:szCs w:val="24"/>
        </w:rPr>
        <w:t xml:space="preserve">Who is involved in the </w:t>
      </w:r>
      <w:proofErr w:type="gramStart"/>
      <w:r w:rsidRPr="008C0EC5">
        <w:rPr>
          <w:rFonts w:ascii="Arial" w:hAnsi="Arial" w:cs="Arial"/>
          <w:b/>
          <w:bCs/>
          <w:color w:val="000000" w:themeColor="text1"/>
          <w:sz w:val="24"/>
          <w:szCs w:val="24"/>
        </w:rPr>
        <w:t>p</w:t>
      </w:r>
      <w:r w:rsidR="00632AB8" w:rsidRPr="008C0EC5">
        <w:rPr>
          <w:rFonts w:ascii="Arial" w:hAnsi="Arial" w:cs="Arial"/>
          <w:b/>
          <w:bCs/>
          <w:color w:val="000000" w:themeColor="text1"/>
          <w:sz w:val="24"/>
          <w:szCs w:val="24"/>
        </w:rPr>
        <w:t>lan</w:t>
      </w:r>
      <w:bookmarkEnd w:id="9"/>
      <w:proofErr w:type="gramEnd"/>
    </w:p>
    <w:p w14:paraId="431F5EB7" w14:textId="10F5FEFF" w:rsidR="00487E63" w:rsidRPr="008C0EC5" w:rsidRDefault="00632AB8" w:rsidP="008C0EC5">
      <w:pPr>
        <w:pStyle w:val="Heading2"/>
        <w:rPr>
          <w:rFonts w:ascii="Arial" w:hAnsi="Arial" w:cs="Arial"/>
          <w:b/>
          <w:sz w:val="20"/>
          <w:szCs w:val="20"/>
        </w:rPr>
      </w:pPr>
      <w:bookmarkStart w:id="10" w:name="_Toc18054738"/>
      <w:r w:rsidRPr="008C0EC5">
        <w:rPr>
          <w:rFonts w:ascii="Arial" w:hAnsi="Arial" w:cs="Arial"/>
          <w:b/>
          <w:bCs/>
          <w:color w:val="000000" w:themeColor="text1"/>
          <w:sz w:val="20"/>
          <w:szCs w:val="20"/>
        </w:rPr>
        <w:t>Pl</w:t>
      </w:r>
      <w:r w:rsidRPr="008C0EC5">
        <w:rPr>
          <w:rFonts w:ascii="Arial" w:eastAsiaTheme="minorHAnsi" w:hAnsi="Arial" w:cs="Arial"/>
          <w:b/>
          <w:color w:val="auto"/>
          <w:sz w:val="20"/>
          <w:szCs w:val="20"/>
        </w:rPr>
        <w:t>an</w:t>
      </w:r>
      <w:r w:rsidR="00CB02E3" w:rsidRPr="008C0EC5">
        <w:rPr>
          <w:rFonts w:ascii="Arial" w:eastAsiaTheme="minorHAnsi" w:hAnsi="Arial" w:cs="Arial"/>
          <w:b/>
          <w:color w:val="auto"/>
          <w:sz w:val="20"/>
          <w:szCs w:val="20"/>
        </w:rPr>
        <w:t xml:space="preserve"> Manager</w:t>
      </w:r>
      <w:bookmarkEnd w:id="10"/>
      <w:r w:rsidR="00CB02E3" w:rsidRPr="008C0EC5">
        <w:rPr>
          <w:rFonts w:ascii="Arial" w:eastAsiaTheme="minorHAnsi" w:hAnsi="Arial" w:cs="Arial"/>
          <w:b/>
          <w:color w:val="auto"/>
          <w:sz w:val="20"/>
          <w:szCs w:val="20"/>
        </w:rPr>
        <w:t xml:space="preserve">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3371D34" w:rsidR="00487E63" w:rsidRPr="008C0EC5" w:rsidRDefault="00CB02E3" w:rsidP="008C0EC5">
      <w:pPr>
        <w:pStyle w:val="Heading2"/>
        <w:rPr>
          <w:rFonts w:ascii="Arial" w:hAnsi="Arial" w:cs="Arial"/>
          <w:b/>
          <w:bCs/>
          <w:color w:val="000000" w:themeColor="text1"/>
          <w:sz w:val="20"/>
          <w:szCs w:val="20"/>
        </w:rPr>
      </w:pPr>
      <w:bookmarkStart w:id="11" w:name="_Toc18054739"/>
      <w:r w:rsidRPr="008C0EC5">
        <w:rPr>
          <w:rFonts w:ascii="Arial" w:hAnsi="Arial" w:cs="Arial"/>
          <w:b/>
          <w:bCs/>
          <w:color w:val="000000" w:themeColor="text1"/>
          <w:sz w:val="20"/>
          <w:szCs w:val="20"/>
        </w:rPr>
        <w:t>Plan Administrator</w:t>
      </w:r>
      <w:bookmarkEnd w:id="11"/>
      <w:r w:rsidRPr="008C0EC5">
        <w:rPr>
          <w:rFonts w:ascii="Arial" w:hAnsi="Arial" w:cs="Arial"/>
          <w:b/>
          <w:bCs/>
          <w:color w:val="000000" w:themeColor="text1"/>
          <w:sz w:val="20"/>
          <w:szCs w:val="20"/>
        </w:rPr>
        <w:t xml:space="preserve">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1D25A3CC" w:rsidR="00487E63" w:rsidRPr="008C0EC5" w:rsidRDefault="00A246C5" w:rsidP="008C0EC5">
      <w:pPr>
        <w:pStyle w:val="Heading2"/>
        <w:rPr>
          <w:rFonts w:ascii="Arial" w:hAnsi="Arial" w:cs="Arial"/>
          <w:b/>
          <w:bCs/>
          <w:color w:val="000000" w:themeColor="text1"/>
          <w:sz w:val="20"/>
          <w:szCs w:val="20"/>
        </w:rPr>
      </w:pPr>
      <w:bookmarkStart w:id="12" w:name="_Toc18054740"/>
      <w:r w:rsidRPr="008C0EC5">
        <w:rPr>
          <w:rFonts w:ascii="Arial" w:hAnsi="Arial" w:cs="Arial"/>
          <w:b/>
          <w:bCs/>
          <w:color w:val="000000" w:themeColor="text1"/>
          <w:sz w:val="20"/>
          <w:szCs w:val="20"/>
        </w:rPr>
        <w:t xml:space="preserve">The Issuer </w:t>
      </w:r>
      <w:r w:rsidR="00D20370" w:rsidRPr="008C0EC5">
        <w:rPr>
          <w:rFonts w:ascii="Arial" w:hAnsi="Arial" w:cs="Arial"/>
          <w:b/>
          <w:bCs/>
          <w:color w:val="000000" w:themeColor="text1"/>
          <w:sz w:val="20"/>
          <w:szCs w:val="20"/>
        </w:rPr>
        <w:t xml:space="preserve">and </w:t>
      </w:r>
      <w:r w:rsidR="00CB02E3" w:rsidRPr="008C0EC5">
        <w:rPr>
          <w:rFonts w:ascii="Arial" w:hAnsi="Arial" w:cs="Arial"/>
          <w:b/>
          <w:bCs/>
          <w:color w:val="000000" w:themeColor="text1"/>
          <w:sz w:val="20"/>
          <w:szCs w:val="20"/>
        </w:rPr>
        <w:t>Counterparty Bank</w:t>
      </w:r>
      <w:bookmarkEnd w:id="12"/>
      <w:r w:rsidR="00CB02E3" w:rsidRPr="008C0EC5">
        <w:rPr>
          <w:rFonts w:ascii="Arial" w:hAnsi="Arial" w:cs="Arial"/>
          <w:b/>
          <w:bCs/>
          <w:color w:val="000000" w:themeColor="text1"/>
          <w:sz w:val="20"/>
          <w:szCs w:val="20"/>
        </w:rPr>
        <w:t xml:space="preserve">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necessary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5B834C39"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w:t>
      </w:r>
      <w:r w:rsidR="001A34C8">
        <w:rPr>
          <w:rFonts w:ascii="Arial" w:hAnsi="Arial" w:cs="Arial"/>
          <w:sz w:val="20"/>
          <w:szCs w:val="20"/>
        </w:rPr>
        <w:t>1</w:t>
      </w:r>
      <w:r w:rsidR="004D6353">
        <w:rPr>
          <w:rFonts w:ascii="Arial" w:hAnsi="Arial" w:cs="Arial"/>
          <w:sz w:val="20"/>
          <w:szCs w:val="20"/>
        </w:rPr>
        <w:t>38</w:t>
      </w:r>
      <w:r w:rsidR="001A34C8">
        <w:rPr>
          <w:rFonts w:ascii="Arial" w:hAnsi="Arial" w:cs="Arial"/>
          <w:sz w:val="20"/>
          <w:szCs w:val="20"/>
        </w:rPr>
        <w:t>,000</w:t>
      </w:r>
      <w:r w:rsidRPr="003A6EF6">
        <w:rPr>
          <w:rFonts w:ascii="Arial" w:hAnsi="Arial" w:cs="Arial"/>
          <w:sz w:val="20"/>
          <w:szCs w:val="20"/>
        </w:rPr>
        <w:t xml:space="preserve"> employees and more than 44 million customers (source: Thomson Reuters and FT Banker Database, </w:t>
      </w:r>
      <w:r w:rsidR="00F24DAD">
        <w:rPr>
          <w:rFonts w:ascii="Arial" w:hAnsi="Arial" w:cs="Arial"/>
          <w:sz w:val="20"/>
          <w:szCs w:val="20"/>
        </w:rPr>
        <w:t>04 Jan 2021</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3A2184EB" w:rsidR="00A246C5" w:rsidRPr="008C0EC5" w:rsidRDefault="00A246C5" w:rsidP="008C0EC5">
      <w:pPr>
        <w:pStyle w:val="Heading1"/>
        <w:spacing w:before="360"/>
        <w:rPr>
          <w:rFonts w:ascii="Arial" w:hAnsi="Arial" w:cs="Arial"/>
          <w:b/>
          <w:bCs/>
          <w:color w:val="000000" w:themeColor="text1"/>
          <w:sz w:val="24"/>
          <w:szCs w:val="24"/>
        </w:rPr>
      </w:pPr>
      <w:bookmarkStart w:id="13" w:name="_Toc18054741"/>
      <w:r w:rsidRPr="008C0EC5">
        <w:rPr>
          <w:rFonts w:ascii="Arial" w:hAnsi="Arial" w:cs="Arial"/>
          <w:b/>
          <w:bCs/>
          <w:color w:val="000000" w:themeColor="text1"/>
          <w:sz w:val="24"/>
          <w:szCs w:val="24"/>
        </w:rPr>
        <w:t xml:space="preserve">The importance of </w:t>
      </w:r>
      <w:r w:rsidR="00CD0ED4" w:rsidRPr="008C0EC5">
        <w:rPr>
          <w:rFonts w:ascii="Arial" w:hAnsi="Arial" w:cs="Arial"/>
          <w:b/>
          <w:bCs/>
          <w:color w:val="000000" w:themeColor="text1"/>
          <w:sz w:val="24"/>
          <w:szCs w:val="24"/>
        </w:rPr>
        <w:t xml:space="preserve">understanding </w:t>
      </w:r>
      <w:r w:rsidRPr="008C0EC5">
        <w:rPr>
          <w:rFonts w:ascii="Arial" w:hAnsi="Arial" w:cs="Arial"/>
          <w:b/>
          <w:bCs/>
          <w:color w:val="000000" w:themeColor="text1"/>
          <w:sz w:val="24"/>
          <w:szCs w:val="24"/>
        </w:rPr>
        <w:t xml:space="preserve">the </w:t>
      </w:r>
      <w:r w:rsidR="00ED4F3D" w:rsidRPr="008C0EC5">
        <w:rPr>
          <w:rFonts w:ascii="Arial" w:hAnsi="Arial" w:cs="Arial"/>
          <w:b/>
          <w:bCs/>
          <w:color w:val="000000" w:themeColor="text1"/>
          <w:sz w:val="24"/>
          <w:szCs w:val="24"/>
        </w:rPr>
        <w:t>i</w:t>
      </w:r>
      <w:r w:rsidRPr="008C0EC5">
        <w:rPr>
          <w:rFonts w:ascii="Arial" w:hAnsi="Arial" w:cs="Arial"/>
          <w:b/>
          <w:bCs/>
          <w:color w:val="000000" w:themeColor="text1"/>
          <w:sz w:val="24"/>
          <w:szCs w:val="24"/>
        </w:rPr>
        <w:t>ssuer</w:t>
      </w:r>
      <w:r w:rsidR="000E55C6" w:rsidRPr="008C0EC5">
        <w:rPr>
          <w:rFonts w:ascii="Arial" w:hAnsi="Arial" w:cs="Arial"/>
          <w:b/>
          <w:bCs/>
          <w:color w:val="000000" w:themeColor="text1"/>
          <w:sz w:val="24"/>
          <w:szCs w:val="24"/>
        </w:rPr>
        <w:t xml:space="preserve"> </w:t>
      </w:r>
      <w:r w:rsidRPr="008C0EC5">
        <w:rPr>
          <w:rFonts w:ascii="Arial" w:hAnsi="Arial" w:cs="Arial"/>
          <w:b/>
          <w:bCs/>
          <w:color w:val="000000" w:themeColor="text1"/>
          <w:sz w:val="24"/>
          <w:szCs w:val="24"/>
        </w:rPr>
        <w:t>/</w:t>
      </w:r>
      <w:r w:rsidR="000E55C6" w:rsidRPr="008C0EC5">
        <w:rPr>
          <w:rFonts w:ascii="Arial" w:hAnsi="Arial" w:cs="Arial"/>
          <w:b/>
          <w:bCs/>
          <w:color w:val="000000" w:themeColor="text1"/>
          <w:sz w:val="24"/>
          <w:szCs w:val="24"/>
        </w:rPr>
        <w:t xml:space="preserve"> </w:t>
      </w:r>
      <w:r w:rsidR="00ED4F3D" w:rsidRPr="008C0EC5">
        <w:rPr>
          <w:rFonts w:ascii="Arial" w:hAnsi="Arial" w:cs="Arial"/>
          <w:b/>
          <w:bCs/>
          <w:color w:val="000000" w:themeColor="text1"/>
          <w:sz w:val="24"/>
          <w:szCs w:val="24"/>
        </w:rPr>
        <w:t>c</w:t>
      </w:r>
      <w:r w:rsidRPr="008C0EC5">
        <w:rPr>
          <w:rFonts w:ascii="Arial" w:hAnsi="Arial" w:cs="Arial"/>
          <w:b/>
          <w:bCs/>
          <w:color w:val="000000" w:themeColor="text1"/>
          <w:sz w:val="24"/>
          <w:szCs w:val="24"/>
        </w:rPr>
        <w:t xml:space="preserve">ounterparty </w:t>
      </w:r>
      <w:r w:rsidR="00CD0ED4" w:rsidRPr="008C0EC5">
        <w:rPr>
          <w:rFonts w:ascii="Arial" w:hAnsi="Arial" w:cs="Arial"/>
          <w:b/>
          <w:bCs/>
          <w:color w:val="000000" w:themeColor="text1"/>
          <w:sz w:val="24"/>
          <w:szCs w:val="24"/>
        </w:rPr>
        <w:t>risk</w:t>
      </w:r>
      <w:bookmarkEnd w:id="13"/>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4"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4"/>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0B58ACE1" w14:textId="12929A40" w:rsidR="00A246C5" w:rsidRPr="003A6EF6" w:rsidRDefault="00554E32"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498739E4" w14:textId="18F18243" w:rsidR="00B62622" w:rsidRPr="008C0EC5" w:rsidRDefault="00B62622" w:rsidP="008C0EC5">
      <w:pPr>
        <w:pStyle w:val="Heading1"/>
        <w:spacing w:before="360"/>
        <w:rPr>
          <w:rFonts w:ascii="Arial" w:hAnsi="Arial" w:cs="Arial"/>
          <w:b/>
          <w:bCs/>
          <w:color w:val="000000" w:themeColor="text1"/>
          <w:sz w:val="24"/>
          <w:szCs w:val="24"/>
        </w:rPr>
      </w:pPr>
      <w:bookmarkStart w:id="15" w:name="_Toc18054742"/>
      <w:r w:rsidRPr="008C0EC5">
        <w:rPr>
          <w:rFonts w:ascii="Arial" w:hAnsi="Arial" w:cs="Arial"/>
          <w:b/>
          <w:bCs/>
          <w:color w:val="000000" w:themeColor="text1"/>
          <w:sz w:val="24"/>
          <w:szCs w:val="24"/>
        </w:rPr>
        <w:t>Other risks you should be aware of and consider</w:t>
      </w:r>
      <w:bookmarkEnd w:id="15"/>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8C0EC5">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7035989A"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8C1CE1">
        <w:rPr>
          <w:rFonts w:ascii="Arial" w:hAnsi="Arial" w:cs="Arial"/>
          <w:sz w:val="20"/>
          <w:szCs w:val="20"/>
        </w:rPr>
        <w:t>3</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532C31E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8C1CE1">
        <w:rPr>
          <w:rFonts w:ascii="Arial" w:hAnsi="Arial" w:cs="Arial"/>
          <w:sz w:val="20"/>
          <w:szCs w:val="20"/>
        </w:rPr>
        <w:t>3</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The FTSE 100 FDEW is not the same as the FTSE 100. The performance of the FTSE 100 FDEW will be different to the performance of the FTSE 100. There is a risk that the FTSE 100 FDEW does not perform as well as the FTSE100. </w:t>
      </w:r>
    </w:p>
    <w:p w14:paraId="5F2BF992" w14:textId="4CA8DBC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CAAC762" w14:textId="77777777" w:rsidR="00BB5BCD" w:rsidRDefault="00BB5BCD" w:rsidP="00BB5BCD">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EB007B1"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223EC58"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03136D8B" w14:textId="1742B14B" w:rsidR="00BB5BCD" w:rsidRPr="003A6EF6" w:rsidRDefault="00BB5BCD"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ED305AC" w:rsidR="00845DE2" w:rsidRPr="008C0EC5" w:rsidRDefault="00845DE2" w:rsidP="008C0EC5">
      <w:pPr>
        <w:pStyle w:val="Heading1"/>
        <w:spacing w:before="360"/>
        <w:rPr>
          <w:rFonts w:ascii="Arial" w:hAnsi="Arial" w:cs="Arial"/>
          <w:b/>
          <w:bCs/>
          <w:color w:val="000000" w:themeColor="text1"/>
          <w:sz w:val="24"/>
          <w:szCs w:val="24"/>
        </w:rPr>
      </w:pPr>
      <w:bookmarkStart w:id="16" w:name="_Toc18054743"/>
      <w:r w:rsidRPr="008C0EC5">
        <w:rPr>
          <w:rFonts w:ascii="Arial" w:hAnsi="Arial" w:cs="Arial"/>
          <w:b/>
          <w:bCs/>
          <w:color w:val="000000" w:themeColor="text1"/>
          <w:sz w:val="24"/>
          <w:szCs w:val="24"/>
        </w:rPr>
        <w:t>Financial Services Compensation Scheme (‘</w:t>
      </w:r>
      <w:r w:rsidR="00C14EA7" w:rsidRPr="008C0EC5">
        <w:rPr>
          <w:rFonts w:ascii="Arial" w:hAnsi="Arial" w:cs="Arial"/>
          <w:b/>
          <w:bCs/>
          <w:color w:val="000000" w:themeColor="text1"/>
          <w:sz w:val="24"/>
          <w:szCs w:val="24"/>
        </w:rPr>
        <w:t>FSCS</w:t>
      </w:r>
      <w:r w:rsidRPr="008C0EC5">
        <w:rPr>
          <w:rFonts w:ascii="Arial" w:hAnsi="Arial" w:cs="Arial"/>
          <w:b/>
          <w:bCs/>
          <w:color w:val="000000" w:themeColor="text1"/>
          <w:sz w:val="24"/>
          <w:szCs w:val="24"/>
        </w:rPr>
        <w:t>’)</w:t>
      </w:r>
      <w:bookmarkEnd w:id="16"/>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lastRenderedPageBreak/>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8C0EC5" w:rsidRDefault="00CB02E3" w:rsidP="008C0EC5">
      <w:pPr>
        <w:pStyle w:val="Heading1"/>
        <w:spacing w:before="360"/>
        <w:rPr>
          <w:rFonts w:ascii="Arial" w:hAnsi="Arial" w:cs="Arial"/>
          <w:b/>
          <w:bCs/>
          <w:color w:val="000000" w:themeColor="text1"/>
          <w:sz w:val="24"/>
          <w:szCs w:val="24"/>
        </w:rPr>
      </w:pPr>
      <w:bookmarkStart w:id="17" w:name="_Toc18054744"/>
      <w:r w:rsidRPr="008C0EC5">
        <w:rPr>
          <w:rFonts w:ascii="Arial" w:hAnsi="Arial" w:cs="Arial"/>
          <w:b/>
          <w:bCs/>
          <w:color w:val="000000" w:themeColor="text1"/>
          <w:sz w:val="24"/>
          <w:szCs w:val="24"/>
        </w:rPr>
        <w:t>Charges</w:t>
      </w:r>
      <w:bookmarkEnd w:id="17"/>
      <w:r w:rsidRPr="008C0EC5">
        <w:rPr>
          <w:rFonts w:ascii="Arial" w:hAnsi="Arial" w:cs="Arial"/>
          <w:b/>
          <w:bCs/>
          <w:color w:val="000000" w:themeColor="text1"/>
          <w:sz w:val="24"/>
          <w:szCs w:val="24"/>
        </w:rPr>
        <w:t xml:space="preserve"> </w:t>
      </w:r>
    </w:p>
    <w:p w14:paraId="7985997F" w14:textId="393123F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F879EA">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1D247B5E"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451685">
        <w:rPr>
          <w:rFonts w:ascii="Arial" w:hAnsi="Arial" w:cs="Arial"/>
          <w:color w:val="000000"/>
          <w:sz w:val="20"/>
          <w:szCs w:val="20"/>
        </w:rPr>
        <w:t>75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1D9EDB77" w14:textId="4A9ADED9" w:rsidR="008C5B72" w:rsidRPr="008C0EC5" w:rsidRDefault="008C5B72" w:rsidP="008C0EC5">
      <w:pPr>
        <w:pStyle w:val="Heading1"/>
        <w:spacing w:before="360"/>
        <w:rPr>
          <w:rFonts w:ascii="Arial" w:hAnsi="Arial" w:cs="Arial"/>
          <w:b/>
          <w:bCs/>
          <w:color w:val="000000" w:themeColor="text1"/>
          <w:sz w:val="24"/>
          <w:szCs w:val="24"/>
        </w:rPr>
      </w:pPr>
      <w:bookmarkStart w:id="18" w:name="_Toc18054745"/>
      <w:r w:rsidRPr="008C0EC5">
        <w:rPr>
          <w:rFonts w:ascii="Arial" w:hAnsi="Arial" w:cs="Arial"/>
          <w:b/>
          <w:bCs/>
          <w:color w:val="000000" w:themeColor="text1"/>
          <w:sz w:val="24"/>
          <w:szCs w:val="24"/>
        </w:rPr>
        <w:t>‘I</w:t>
      </w:r>
      <w:r w:rsidR="00FA1A63" w:rsidRPr="008C0EC5">
        <w:rPr>
          <w:rFonts w:ascii="Arial" w:hAnsi="Arial" w:cs="Arial"/>
          <w:b/>
          <w:bCs/>
          <w:color w:val="000000" w:themeColor="text1"/>
          <w:sz w:val="24"/>
          <w:szCs w:val="24"/>
        </w:rPr>
        <w:t>f /</w:t>
      </w:r>
      <w:r w:rsidR="001861CB" w:rsidRPr="008C0EC5">
        <w:rPr>
          <w:rFonts w:ascii="Arial" w:hAnsi="Arial" w:cs="Arial"/>
          <w:b/>
          <w:bCs/>
          <w:color w:val="000000" w:themeColor="text1"/>
          <w:sz w:val="24"/>
          <w:szCs w:val="24"/>
        </w:rPr>
        <w:t xml:space="preserve"> </w:t>
      </w:r>
      <w:r w:rsidR="00B92279" w:rsidRPr="008C0EC5">
        <w:rPr>
          <w:rFonts w:ascii="Arial" w:hAnsi="Arial" w:cs="Arial"/>
          <w:b/>
          <w:bCs/>
          <w:color w:val="000000" w:themeColor="text1"/>
          <w:sz w:val="24"/>
          <w:szCs w:val="24"/>
        </w:rPr>
        <w:t>t</w:t>
      </w:r>
      <w:r w:rsidRPr="008C0EC5">
        <w:rPr>
          <w:rFonts w:ascii="Arial" w:hAnsi="Arial" w:cs="Arial"/>
          <w:b/>
          <w:bCs/>
          <w:color w:val="000000" w:themeColor="text1"/>
          <w:sz w:val="24"/>
          <w:szCs w:val="24"/>
        </w:rPr>
        <w:t>hen …’ summary</w:t>
      </w:r>
      <w:bookmarkEnd w:id="18"/>
    </w:p>
    <w:p w14:paraId="71F7FBF0" w14:textId="77777777" w:rsidR="00FA1A63" w:rsidRDefault="00FA1A63" w:rsidP="00A133D9">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Structured products are investments that are linked to the stock market. Unlike most other types of investment, the levels of risk and the conditions for positive returns to be generated are 'defined by contract', meaning they are legal obligations for the issuer.</w:t>
      </w:r>
    </w:p>
    <w:p w14:paraId="1A5E1E92" w14:textId="38D19BE9" w:rsid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FA1A63">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1373AF25"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231556">
              <w:rPr>
                <w:rFonts w:ascii="Arial" w:hAnsi="Arial" w:cs="Arial"/>
                <w:b/>
                <w:sz w:val="24"/>
                <w:szCs w:val="24"/>
              </w:rPr>
              <w:t xml:space="preserve"> /</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002B1B0A">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5812D86F"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anniversary, the FTSE 100 FDEW closes at or above</w:t>
            </w:r>
            <w:r w:rsidR="00411E09" w:rsidRPr="003A6EF6">
              <w:rPr>
                <w:rFonts w:ascii="Arial" w:hAnsi="Arial" w:cs="Arial"/>
                <w:sz w:val="20"/>
                <w:szCs w:val="20"/>
              </w:rPr>
              <w:t xml:space="preserve"> </w:t>
            </w:r>
            <w:r w:rsidR="008C1CE1">
              <w:rPr>
                <w:rFonts w:ascii="Arial" w:hAnsi="Arial" w:cs="Arial"/>
                <w:sz w:val="20"/>
                <w:szCs w:val="20"/>
              </w:rPr>
              <w:t xml:space="preserve">100%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57101C0B"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fixed return of </w:t>
            </w:r>
            <w:r w:rsidR="00F24DAD">
              <w:rPr>
                <w:rFonts w:ascii="Arial" w:hAnsi="Arial" w:cs="Arial"/>
                <w:sz w:val="20"/>
                <w:szCs w:val="20"/>
              </w:rPr>
              <w:t>11.65</w:t>
            </w:r>
            <w:r w:rsidR="001A34C8">
              <w:rPr>
                <w:rFonts w:ascii="Arial" w:hAnsi="Arial" w:cs="Arial"/>
                <w:sz w:val="20"/>
                <w:szCs w:val="20"/>
              </w:rPr>
              <w:t>%</w:t>
            </w:r>
            <w:r w:rsidR="00195110" w:rsidRPr="003A6EF6">
              <w:rPr>
                <w:rFonts w:ascii="Arial" w:hAnsi="Arial" w:cs="Arial"/>
                <w:sz w:val="20"/>
                <w:szCs w:val="20"/>
              </w:rPr>
              <w:t xml:space="preserve"> for each year </w:t>
            </w:r>
            <w:r w:rsidR="00B04575" w:rsidRPr="003A6EF6">
              <w:rPr>
                <w:rFonts w:ascii="Arial" w:hAnsi="Arial" w:cs="Arial"/>
                <w:sz w:val="20"/>
                <w:szCs w:val="20"/>
              </w:rPr>
              <w:t xml:space="preserve">that </w:t>
            </w:r>
            <w:r w:rsidR="00195110" w:rsidRPr="003A6EF6">
              <w:rPr>
                <w:rFonts w:ascii="Arial" w:hAnsi="Arial" w:cs="Arial"/>
                <w:sz w:val="20"/>
                <w:szCs w:val="20"/>
              </w:rPr>
              <w:t>the plan has run</w:t>
            </w:r>
            <w:r w:rsidR="008C5B72" w:rsidRPr="003A6EF6">
              <w:rPr>
                <w:rFonts w:ascii="Arial" w:hAnsi="Arial" w:cs="Arial"/>
                <w:sz w:val="20"/>
                <w:szCs w:val="20"/>
              </w:rPr>
              <w:t xml:space="preserve">. Your original investment will also be repaid. </w:t>
            </w:r>
            <w:r w:rsidRPr="003A6EF6">
              <w:rPr>
                <w:rFonts w:ascii="Arial" w:hAnsi="Arial" w:cs="Arial"/>
                <w:sz w:val="20"/>
                <w:szCs w:val="20"/>
              </w:rPr>
              <w:t>T</w:t>
            </w:r>
            <w:r w:rsidR="008C5B72" w:rsidRPr="003A6EF6">
              <w:rPr>
                <w:rFonts w:ascii="Arial" w:hAnsi="Arial" w:cs="Arial"/>
                <w:sz w:val="20"/>
                <w:szCs w:val="20"/>
              </w:rPr>
              <w:t xml:space="preserve">he plan will </w:t>
            </w:r>
            <w:r w:rsidRPr="003A6EF6">
              <w:rPr>
                <w:rFonts w:ascii="Arial" w:hAnsi="Arial" w:cs="Arial"/>
                <w:sz w:val="20"/>
                <w:szCs w:val="20"/>
              </w:rPr>
              <w:t xml:space="preserve">then </w:t>
            </w:r>
            <w:r w:rsidR="008C5B72" w:rsidRPr="003A6EF6">
              <w:rPr>
                <w:rFonts w:ascii="Arial" w:hAnsi="Arial" w:cs="Arial"/>
                <w:sz w:val="20"/>
                <w:szCs w:val="20"/>
              </w:rPr>
              <w:t>mature early and close.</w:t>
            </w:r>
          </w:p>
        </w:tc>
      </w:tr>
      <w:tr w:rsidR="002B1B0A" w:rsidRPr="003A6EF6" w14:paraId="5B11E5CD" w14:textId="77777777" w:rsidTr="002B1B0A">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732BBEBF"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the FTSE 100</w:t>
            </w:r>
            <w:r w:rsidR="00BE7750">
              <w:rPr>
                <w:rFonts w:ascii="Arial" w:hAnsi="Arial" w:cs="Arial"/>
                <w:sz w:val="20"/>
                <w:szCs w:val="20"/>
              </w:rPr>
              <w:t xml:space="preserve"> FDEW</w:t>
            </w:r>
            <w:r w:rsidR="008C5B72" w:rsidRPr="003A6EF6">
              <w:rPr>
                <w:rFonts w:ascii="Arial" w:hAnsi="Arial" w:cs="Arial"/>
                <w:sz w:val="20"/>
                <w:szCs w:val="20"/>
              </w:rPr>
              <w:t xml:space="preserve">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8C1CE1">
              <w:rPr>
                <w:rFonts w:ascii="Arial" w:hAnsi="Arial" w:cs="Arial"/>
                <w:sz w:val="20"/>
                <w:szCs w:val="20"/>
              </w:rPr>
              <w:t xml:space="preserve">100% </w:t>
            </w:r>
            <w:r w:rsidR="00411E09" w:rsidRPr="003A6EF6">
              <w:rPr>
                <w:rFonts w:ascii="Arial" w:hAnsi="Arial" w:cs="Arial"/>
                <w:sz w:val="20"/>
                <w:szCs w:val="20"/>
              </w:rPr>
              <w:t xml:space="preserve">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if the FTSE 100 FDEW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3D3224AB"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y</w:t>
            </w:r>
            <w:r w:rsidR="008C5B72" w:rsidRPr="003A6EF6">
              <w:rPr>
                <w:rFonts w:ascii="Arial" w:hAnsi="Arial" w:cs="Arial"/>
                <w:sz w:val="20"/>
                <w:szCs w:val="20"/>
              </w:rPr>
              <w:t xml:space="preserve">ou will receive a </w:t>
            </w:r>
            <w:r w:rsidR="00B04575" w:rsidRPr="003A6EF6">
              <w:rPr>
                <w:rFonts w:ascii="Arial" w:hAnsi="Arial" w:cs="Arial"/>
                <w:sz w:val="20"/>
                <w:szCs w:val="20"/>
              </w:rPr>
              <w:t xml:space="preserve">fixed </w:t>
            </w:r>
            <w:r w:rsidR="008C5B72" w:rsidRPr="003A6EF6">
              <w:rPr>
                <w:rFonts w:ascii="Arial" w:hAnsi="Arial" w:cs="Arial"/>
                <w:sz w:val="20"/>
                <w:szCs w:val="20"/>
              </w:rPr>
              <w:t xml:space="preserve">return </w:t>
            </w:r>
            <w:r w:rsidR="00B04575" w:rsidRPr="003A6EF6">
              <w:rPr>
                <w:rFonts w:ascii="Arial" w:hAnsi="Arial" w:cs="Arial"/>
                <w:sz w:val="20"/>
                <w:szCs w:val="20"/>
              </w:rPr>
              <w:t xml:space="preserve">of </w:t>
            </w:r>
            <w:r w:rsidR="00F24DAD">
              <w:rPr>
                <w:rFonts w:ascii="Arial" w:hAnsi="Arial" w:cs="Arial"/>
                <w:sz w:val="20"/>
                <w:szCs w:val="20"/>
              </w:rPr>
              <w:t>116.5</w:t>
            </w:r>
            <w:r w:rsidR="001A2CF9">
              <w:rPr>
                <w:rFonts w:ascii="Arial" w:hAnsi="Arial" w:cs="Arial"/>
                <w:sz w:val="20"/>
                <w:szCs w:val="20"/>
              </w:rPr>
              <w:t>0</w:t>
            </w:r>
            <w:r w:rsidR="001A34C8">
              <w:rPr>
                <w:rFonts w:ascii="Arial" w:hAnsi="Arial" w:cs="Arial"/>
                <w:sz w:val="20"/>
                <w:szCs w:val="20"/>
              </w:rPr>
              <w:t>%</w:t>
            </w:r>
            <w:r w:rsidR="00B04575" w:rsidRPr="003A6EF6">
              <w:rPr>
                <w:rFonts w:ascii="Arial" w:hAnsi="Arial" w:cs="Arial"/>
                <w:sz w:val="20"/>
                <w:szCs w:val="20"/>
              </w:rPr>
              <w:t>,</w:t>
            </w:r>
            <w:r w:rsidR="00030388" w:rsidRPr="003A6EF6">
              <w:rPr>
                <w:rFonts w:ascii="Arial" w:hAnsi="Arial" w:cs="Arial"/>
                <w:sz w:val="20"/>
                <w:szCs w:val="20"/>
              </w:rPr>
              <w:t xml:space="preserve"> which is</w:t>
            </w:r>
            <w:r w:rsidR="00B04575" w:rsidRPr="003A6EF6">
              <w:rPr>
                <w:rFonts w:ascii="Arial" w:hAnsi="Arial" w:cs="Arial"/>
                <w:sz w:val="20"/>
                <w:szCs w:val="20"/>
              </w:rPr>
              <w:t xml:space="preserve"> equal to </w:t>
            </w:r>
            <w:r w:rsidR="00F24DAD">
              <w:rPr>
                <w:rFonts w:ascii="Arial" w:hAnsi="Arial" w:cs="Arial"/>
                <w:sz w:val="20"/>
                <w:szCs w:val="20"/>
              </w:rPr>
              <w:t>11.65</w:t>
            </w:r>
            <w:r w:rsidR="001A34C8">
              <w:rPr>
                <w:rFonts w:ascii="Arial" w:hAnsi="Arial" w:cs="Arial"/>
                <w:sz w:val="20"/>
                <w:szCs w:val="20"/>
              </w:rPr>
              <w:t>%</w:t>
            </w:r>
            <w:r w:rsidR="00B04575" w:rsidRPr="003A6EF6">
              <w:rPr>
                <w:rFonts w:ascii="Arial" w:hAnsi="Arial" w:cs="Arial"/>
                <w:sz w:val="20"/>
                <w:szCs w:val="20"/>
              </w:rPr>
              <w:t xml:space="preserve"> for each year that the plan has run</w:t>
            </w:r>
            <w:r w:rsidR="008C5B72" w:rsidRPr="003A6EF6">
              <w:rPr>
                <w:rFonts w:ascii="Arial" w:hAnsi="Arial" w:cs="Arial"/>
                <w:sz w:val="20"/>
                <w:szCs w:val="20"/>
              </w:rPr>
              <w:t xml:space="preserve">. Your original investment will also be repaid. </w:t>
            </w:r>
          </w:p>
        </w:tc>
      </w:tr>
      <w:tr w:rsidR="002B1B0A" w:rsidRPr="003A6EF6" w14:paraId="064AEC45" w14:textId="77777777" w:rsidTr="002B1B0A">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47B598C0"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w:t>
            </w:r>
            <w:r w:rsidR="008C5B72" w:rsidRPr="003A6EF6">
              <w:rPr>
                <w:rFonts w:ascii="Arial" w:hAnsi="Arial" w:cs="Arial"/>
                <w:sz w:val="20"/>
                <w:szCs w:val="20"/>
              </w:rPr>
              <w:lastRenderedPageBreak/>
              <w:t xml:space="preserve">below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F24DAD">
              <w:rPr>
                <w:rFonts w:ascii="Arial" w:hAnsi="Arial" w:cs="Arial"/>
                <w:sz w:val="20"/>
                <w:szCs w:val="20"/>
              </w:rPr>
              <w:t>50</w:t>
            </w:r>
            <w:r w:rsidR="00451685">
              <w:rPr>
                <w:rFonts w:ascii="Arial" w:hAnsi="Arial" w:cs="Arial"/>
                <w:sz w:val="20"/>
                <w:szCs w:val="20"/>
              </w:rPr>
              <w:t>%</w:t>
            </w:r>
            <w:r w:rsidR="008C5B72" w:rsidRPr="003A6EF6">
              <w:rPr>
                <w:rFonts w:ascii="Arial" w:hAnsi="Arial" w:cs="Arial"/>
                <w:sz w:val="20"/>
                <w:szCs w:val="20"/>
              </w:rPr>
              <w:t xml:space="preserve">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lastRenderedPageBreak/>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002B1B0A">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1CB1D56B"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FDEW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F24DAD">
              <w:rPr>
                <w:rFonts w:ascii="Arial" w:hAnsi="Arial" w:cs="Arial"/>
                <w:sz w:val="20"/>
                <w:szCs w:val="20"/>
              </w:rPr>
              <w:t>50</w:t>
            </w:r>
            <w:r w:rsidR="00451685">
              <w:rPr>
                <w:rFonts w:ascii="Arial" w:hAnsi="Arial" w:cs="Arial"/>
                <w:sz w:val="20"/>
                <w:szCs w:val="20"/>
              </w:rPr>
              <w:t>%</w:t>
            </w:r>
            <w:r w:rsidR="008C5B72" w:rsidRPr="003A6EF6">
              <w:rPr>
                <w:rFonts w:ascii="Arial" w:hAnsi="Arial" w:cs="Arial"/>
                <w:sz w:val="20"/>
                <w:szCs w:val="20"/>
              </w:rPr>
              <w:t xml:space="preserve">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07133262"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the FTSE 100 FDEW</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002B1B0A">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08FC9F1C" w14:textId="77777777" w:rsidR="00BB5BCD" w:rsidRDefault="00BB5BCD" w:rsidP="00BB5BCD">
      <w:pPr>
        <w:rPr>
          <w:rFonts w:ascii="Arial" w:hAnsi="Arial" w:cs="Arial"/>
          <w:b/>
          <w:bCs/>
          <w:color w:val="000000" w:themeColor="text1"/>
          <w:sz w:val="24"/>
          <w:szCs w:val="24"/>
        </w:rPr>
      </w:pPr>
      <w:bookmarkStart w:id="19" w:name="_Toc18054746"/>
    </w:p>
    <w:p w14:paraId="2577706D" w14:textId="164FA86A" w:rsidR="00065439" w:rsidRPr="008C0EC5" w:rsidRDefault="008C5B72" w:rsidP="00AD76C2">
      <w:pPr>
        <w:rPr>
          <w:rFonts w:ascii="Arial" w:hAnsi="Arial" w:cs="Arial"/>
          <w:b/>
          <w:bCs/>
          <w:color w:val="000000" w:themeColor="text1"/>
          <w:sz w:val="24"/>
          <w:szCs w:val="24"/>
        </w:rPr>
      </w:pPr>
      <w:r w:rsidRPr="008C0EC5">
        <w:rPr>
          <w:rFonts w:ascii="Arial" w:hAnsi="Arial" w:cs="Arial"/>
          <w:b/>
          <w:bCs/>
          <w:color w:val="000000" w:themeColor="text1"/>
          <w:sz w:val="24"/>
          <w:szCs w:val="24"/>
        </w:rPr>
        <w:t>Is this plan suitable for you?</w:t>
      </w:r>
      <w:bookmarkEnd w:id="19"/>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5BBBD60" w14:textId="77777777" w:rsidR="00BB5BCD" w:rsidRPr="002B1B0A" w:rsidRDefault="00BB5BCD" w:rsidP="00BB5BCD">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comfortable with investment products that are linked to the UK stock market, represented by the FTSE 100 Fixed Dividend Equal Weight Custom Index (‘FTSE 100 FDEW’)</w:t>
      </w:r>
      <w:r>
        <w:rPr>
          <w:rFonts w:ascii="Arial" w:hAnsi="Arial" w:cs="Arial"/>
          <w:color w:val="000000"/>
          <w:sz w:val="20"/>
          <w:szCs w:val="20"/>
        </w:rPr>
        <w:t xml:space="preserve"> </w:t>
      </w:r>
      <w:r w:rsidRPr="008D47C0">
        <w:rPr>
          <w:rFonts w:ascii="Arial" w:hAnsi="Arial" w:cs="Arial"/>
          <w:color w:val="000000"/>
          <w:sz w:val="20"/>
          <w:szCs w:val="20"/>
        </w:rPr>
        <w:t>and understand the important differences between the FTSE 100 FDEW and the FTSE 100</w:t>
      </w:r>
      <w:r w:rsidRPr="003A6EF6">
        <w:rPr>
          <w:rFonts w:ascii="Arial" w:hAnsi="Arial" w:cs="Arial"/>
          <w:color w:val="000000"/>
          <w:sz w:val="20"/>
          <w:szCs w:val="20"/>
        </w:rPr>
        <w:t>;</w:t>
      </w:r>
    </w:p>
    <w:p w14:paraId="3E5D0855" w14:textId="401F48F0" w:rsidR="00BB5BCD" w:rsidRDefault="00BB5BCD" w:rsidP="00BB5BCD">
      <w:pPr>
        <w:pStyle w:val="NoSpacing"/>
        <w:numPr>
          <w:ilvl w:val="0"/>
          <w:numId w:val="5"/>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FDEW</w:t>
      </w:r>
      <w:r w:rsidR="003C0D12">
        <w:rPr>
          <w:rFonts w:ascii="Arial" w:hAnsi="Arial" w:cs="Arial"/>
          <w:color w:val="000000"/>
          <w:sz w:val="20"/>
          <w:szCs w:val="20"/>
        </w:rPr>
        <w:t>,</w:t>
      </w:r>
      <w:r w:rsidRPr="008D47C0">
        <w:rPr>
          <w:rFonts w:ascii="Arial" w:hAnsi="Arial" w:cs="Arial"/>
          <w:color w:val="000000"/>
          <w:sz w:val="20"/>
          <w:szCs w:val="20"/>
        </w:rPr>
        <w:t xml:space="preserve"> the level of its fixed dividend and </w:t>
      </w:r>
      <w:r w:rsidR="003C0D12">
        <w:rPr>
          <w:rFonts w:ascii="Arial" w:hAnsi="Arial" w:cs="Arial"/>
          <w:color w:val="000000"/>
          <w:sz w:val="20"/>
          <w:szCs w:val="20"/>
        </w:rPr>
        <w:t xml:space="preserve">the outlook for its future level and </w:t>
      </w:r>
      <w:r w:rsidRPr="008D47C0">
        <w:rPr>
          <w:rFonts w:ascii="Arial" w:hAnsi="Arial" w:cs="Arial"/>
          <w:color w:val="000000"/>
          <w:sz w:val="20"/>
          <w:szCs w:val="20"/>
        </w:rPr>
        <w:t>understand that this plan is designed for investors who have a positive view of the future level of the FTSE 100 FDEW, over the medium to long term.</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8C0EC5">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lastRenderedPageBreak/>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AD76C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8C0EC5" w:rsidRDefault="008C5B72" w:rsidP="008C0EC5">
      <w:pPr>
        <w:pStyle w:val="Heading1"/>
        <w:spacing w:before="360"/>
        <w:rPr>
          <w:rFonts w:ascii="Arial" w:hAnsi="Arial" w:cs="Arial"/>
          <w:b/>
          <w:bCs/>
          <w:sz w:val="24"/>
          <w:szCs w:val="24"/>
        </w:rPr>
      </w:pPr>
      <w:bookmarkStart w:id="20" w:name="_Toc18054747"/>
      <w:r w:rsidRPr="008C0EC5">
        <w:rPr>
          <w:rFonts w:ascii="Arial" w:hAnsi="Arial" w:cs="Arial"/>
          <w:b/>
          <w:bCs/>
          <w:color w:val="000000" w:themeColor="text1"/>
          <w:sz w:val="24"/>
          <w:szCs w:val="24"/>
        </w:rPr>
        <w:t xml:space="preserve">Prospective investors who should </w:t>
      </w:r>
      <w:r w:rsidR="008D3ED4" w:rsidRPr="008C0EC5">
        <w:rPr>
          <w:rFonts w:ascii="Arial" w:hAnsi="Arial" w:cs="Arial"/>
          <w:b/>
          <w:bCs/>
          <w:color w:val="000000" w:themeColor="text1"/>
          <w:sz w:val="24"/>
          <w:szCs w:val="24"/>
        </w:rPr>
        <w:t xml:space="preserve">not </w:t>
      </w:r>
      <w:r w:rsidRPr="008C0EC5">
        <w:rPr>
          <w:rFonts w:ascii="Arial" w:hAnsi="Arial" w:cs="Arial"/>
          <w:b/>
          <w:bCs/>
          <w:color w:val="000000" w:themeColor="text1"/>
          <w:sz w:val="24"/>
          <w:szCs w:val="24"/>
        </w:rPr>
        <w:t>invest</w:t>
      </w:r>
      <w:bookmarkEnd w:id="20"/>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2A4503B4"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market to fall </w:t>
      </w:r>
      <w:r w:rsidR="00BB5BCD">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8C0EC5" w:rsidRDefault="00D76989" w:rsidP="008C0EC5">
      <w:pPr>
        <w:pStyle w:val="Heading1"/>
        <w:spacing w:before="360"/>
        <w:rPr>
          <w:rFonts w:ascii="Arial" w:hAnsi="Arial" w:cs="Arial"/>
          <w:b/>
          <w:bCs/>
          <w:color w:val="000000" w:themeColor="text1"/>
          <w:sz w:val="24"/>
          <w:szCs w:val="24"/>
        </w:rPr>
      </w:pPr>
      <w:bookmarkStart w:id="21" w:name="_Toc18054748"/>
      <w:r w:rsidRPr="008C0EC5">
        <w:rPr>
          <w:rFonts w:ascii="Arial" w:hAnsi="Arial" w:cs="Arial"/>
          <w:b/>
          <w:bCs/>
          <w:color w:val="000000" w:themeColor="text1"/>
          <w:sz w:val="24"/>
          <w:szCs w:val="24"/>
        </w:rPr>
        <w:t>Final points</w:t>
      </w:r>
      <w:r w:rsidR="00CD577B" w:rsidRPr="008C0EC5">
        <w:rPr>
          <w:rFonts w:ascii="Arial" w:hAnsi="Arial" w:cs="Arial"/>
          <w:b/>
          <w:bCs/>
          <w:color w:val="000000" w:themeColor="text1"/>
          <w:sz w:val="24"/>
          <w:szCs w:val="24"/>
        </w:rPr>
        <w:t xml:space="preserve"> to emphasise</w:t>
      </w:r>
      <w:bookmarkEnd w:id="21"/>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lastRenderedPageBreak/>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6EEF536E" w14:textId="619EA933" w:rsidR="00BB5BCD" w:rsidRPr="008D47C0" w:rsidRDefault="003C0D12" w:rsidP="00BB5BCD">
      <w:pPr>
        <w:pStyle w:val="NoSpacing"/>
        <w:spacing w:before="120" w:after="120"/>
        <w:rPr>
          <w:rFonts w:ascii="Arial" w:hAnsi="Arial" w:cs="Arial"/>
          <w:sz w:val="20"/>
          <w:szCs w:val="20"/>
        </w:rPr>
      </w:pPr>
      <w:r>
        <w:rPr>
          <w:rFonts w:ascii="Arial" w:hAnsi="Arial" w:cs="Arial"/>
          <w:sz w:val="20"/>
          <w:szCs w:val="20"/>
        </w:rPr>
        <w:t>It</w:t>
      </w:r>
      <w:r w:rsidR="00BB5BCD" w:rsidRPr="008D47C0">
        <w:rPr>
          <w:rFonts w:ascii="Arial" w:hAnsi="Arial" w:cs="Arial"/>
          <w:sz w:val="20"/>
          <w:szCs w:val="20"/>
        </w:rPr>
        <w:t xml:space="preserve"> is important that you carefully consider the current level of the FTSE 100 FDEW</w:t>
      </w:r>
      <w:r>
        <w:rPr>
          <w:rFonts w:ascii="Arial" w:hAnsi="Arial" w:cs="Arial"/>
          <w:sz w:val="20"/>
          <w:szCs w:val="20"/>
        </w:rPr>
        <w:t>,</w:t>
      </w:r>
      <w:r w:rsidR="00BB5BCD"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BB5BCD" w:rsidRPr="008D47C0">
        <w:rPr>
          <w:rFonts w:ascii="Arial" w:hAnsi="Arial" w:cs="Arial"/>
          <w:sz w:val="20"/>
          <w:szCs w:val="20"/>
        </w:rPr>
        <w:t>.</w:t>
      </w:r>
    </w:p>
    <w:p w14:paraId="6E608F28" w14:textId="77777777" w:rsidR="00BB5BCD" w:rsidRPr="008D47C0" w:rsidRDefault="00BB5BCD" w:rsidP="00BB5BCD">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FDEW,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8C0EC5" w:rsidRDefault="00731C2C" w:rsidP="00CD577B">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803C6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strokecolor="#b19d40" strokeweight="3.5pt"/>
            </w:pict>
          </mc:Fallback>
        </mc:AlternateConten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3BE453AB"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F24DAD">
        <w:rPr>
          <w:rFonts w:ascii="Arial" w:hAnsi="Arial" w:cs="Arial"/>
          <w:sz w:val="20"/>
          <w:szCs w:val="20"/>
          <w:lang w:eastAsia="en-GB"/>
        </w:rPr>
        <w:t>05 Jan 2021</w:t>
      </w:r>
      <w:r>
        <w:rPr>
          <w:rFonts w:ascii="Arial" w:hAnsi="Arial" w:cs="Arial"/>
          <w:sz w:val="20"/>
          <w:szCs w:val="20"/>
          <w:lang w:eastAsia="en-GB"/>
        </w:rPr>
        <w:t>.</w:t>
      </w:r>
    </w:p>
    <w:p w14:paraId="66781D37" w14:textId="416AAC59"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w:t>
      </w:r>
      <w:r w:rsidR="001A34C8">
        <w:rPr>
          <w:rFonts w:ascii="Arial" w:hAnsi="Arial" w:cs="Arial"/>
          <w:color w:val="000000"/>
          <w:sz w:val="20"/>
          <w:szCs w:val="20"/>
        </w:rPr>
        <w:t>202</w:t>
      </w:r>
      <w:r w:rsidR="00F24DAD">
        <w:rPr>
          <w:rFonts w:ascii="Arial" w:hAnsi="Arial" w:cs="Arial"/>
          <w:color w:val="000000"/>
          <w:sz w:val="20"/>
          <w:szCs w:val="20"/>
        </w:rPr>
        <w:t>1</w:t>
      </w:r>
      <w:r>
        <w:rPr>
          <w:rFonts w:ascii="Arial" w:hAnsi="Arial" w:cs="Arial"/>
          <w:color w:val="000000"/>
          <w:sz w:val="20"/>
          <w:szCs w:val="20"/>
        </w:rPr>
        <w:t>.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2"/>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04900" w14:textId="77777777" w:rsidR="00541AB5" w:rsidRDefault="00541AB5" w:rsidP="00D76989">
      <w:pPr>
        <w:spacing w:after="0" w:line="240" w:lineRule="auto"/>
      </w:pPr>
      <w:r>
        <w:separator/>
      </w:r>
    </w:p>
  </w:endnote>
  <w:endnote w:type="continuationSeparator" w:id="0">
    <w:p w14:paraId="676F8DED" w14:textId="77777777" w:rsidR="00541AB5" w:rsidRDefault="00541AB5"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swiss"/>
    <w:notTrueType/>
    <w:pitch w:val="default"/>
    <w:sig w:usb0="00000003" w:usb1="00000000" w:usb2="00000000" w:usb3="00000000" w:csb0="00000001"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l Bayan Plain">
    <w:altName w:val="﷽﷽﷽﷽﷽﷽﷽﷽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14121" w14:textId="77777777" w:rsidR="00541AB5" w:rsidRDefault="00541AB5" w:rsidP="00D76989">
      <w:pPr>
        <w:spacing w:after="0" w:line="240" w:lineRule="auto"/>
      </w:pPr>
      <w:r>
        <w:separator/>
      </w:r>
    </w:p>
  </w:footnote>
  <w:footnote w:type="continuationSeparator" w:id="0">
    <w:p w14:paraId="24F5C97B" w14:textId="77777777" w:rsidR="00541AB5" w:rsidRDefault="00541AB5"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8"/>
  </w:num>
  <w:num w:numId="5">
    <w:abstractNumId w:val="26"/>
  </w:num>
  <w:num w:numId="6">
    <w:abstractNumId w:val="20"/>
  </w:num>
  <w:num w:numId="7">
    <w:abstractNumId w:val="15"/>
  </w:num>
  <w:num w:numId="8">
    <w:abstractNumId w:val="24"/>
  </w:num>
  <w:num w:numId="9">
    <w:abstractNumId w:val="12"/>
  </w:num>
  <w:num w:numId="10">
    <w:abstractNumId w:val="4"/>
  </w:num>
  <w:num w:numId="11">
    <w:abstractNumId w:val="32"/>
  </w:num>
  <w:num w:numId="12">
    <w:abstractNumId w:val="25"/>
  </w:num>
  <w:num w:numId="13">
    <w:abstractNumId w:val="30"/>
  </w:num>
  <w:num w:numId="14">
    <w:abstractNumId w:val="5"/>
  </w:num>
  <w:num w:numId="15">
    <w:abstractNumId w:val="3"/>
  </w:num>
  <w:num w:numId="16">
    <w:abstractNumId w:val="13"/>
  </w:num>
  <w:num w:numId="17">
    <w:abstractNumId w:val="17"/>
  </w:num>
  <w:num w:numId="18">
    <w:abstractNumId w:val="27"/>
  </w:num>
  <w:num w:numId="19">
    <w:abstractNumId w:val="16"/>
  </w:num>
  <w:num w:numId="20">
    <w:abstractNumId w:val="33"/>
  </w:num>
  <w:num w:numId="21">
    <w:abstractNumId w:val="7"/>
  </w:num>
  <w:num w:numId="22">
    <w:abstractNumId w:val="9"/>
  </w:num>
  <w:num w:numId="23">
    <w:abstractNumId w:val="11"/>
  </w:num>
  <w:num w:numId="24">
    <w:abstractNumId w:val="21"/>
  </w:num>
  <w:num w:numId="25">
    <w:abstractNumId w:val="19"/>
  </w:num>
  <w:num w:numId="26">
    <w:abstractNumId w:val="10"/>
  </w:num>
  <w:num w:numId="27">
    <w:abstractNumId w:val="8"/>
  </w:num>
  <w:num w:numId="28">
    <w:abstractNumId w:val="29"/>
  </w:num>
  <w:num w:numId="29">
    <w:abstractNumId w:val="31"/>
  </w:num>
  <w:num w:numId="30">
    <w:abstractNumId w:val="28"/>
  </w:num>
  <w:num w:numId="31">
    <w:abstractNumId w:val="14"/>
  </w:num>
  <w:num w:numId="32">
    <w:abstractNumId w:val="23"/>
  </w:num>
  <w:num w:numId="33">
    <w:abstractNumId w:val="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6103"/>
    <w:rsid w:val="00076F8B"/>
    <w:rsid w:val="0007788A"/>
    <w:rsid w:val="00086124"/>
    <w:rsid w:val="00096127"/>
    <w:rsid w:val="00096EB1"/>
    <w:rsid w:val="000A2C78"/>
    <w:rsid w:val="000A3477"/>
    <w:rsid w:val="000A6451"/>
    <w:rsid w:val="000A705C"/>
    <w:rsid w:val="000C6BFF"/>
    <w:rsid w:val="000D00B4"/>
    <w:rsid w:val="000D04BF"/>
    <w:rsid w:val="000E001C"/>
    <w:rsid w:val="000E33F0"/>
    <w:rsid w:val="000E55C6"/>
    <w:rsid w:val="000E7899"/>
    <w:rsid w:val="000F2403"/>
    <w:rsid w:val="00100498"/>
    <w:rsid w:val="00110784"/>
    <w:rsid w:val="00117D8C"/>
    <w:rsid w:val="00126426"/>
    <w:rsid w:val="00145817"/>
    <w:rsid w:val="0014701E"/>
    <w:rsid w:val="00176E91"/>
    <w:rsid w:val="001772E3"/>
    <w:rsid w:val="00182218"/>
    <w:rsid w:val="001861CB"/>
    <w:rsid w:val="0018707B"/>
    <w:rsid w:val="00195110"/>
    <w:rsid w:val="001A2CF9"/>
    <w:rsid w:val="001A34C8"/>
    <w:rsid w:val="001D43CE"/>
    <w:rsid w:val="001E6D97"/>
    <w:rsid w:val="001F5D98"/>
    <w:rsid w:val="001F697D"/>
    <w:rsid w:val="0020496A"/>
    <w:rsid w:val="00213F36"/>
    <w:rsid w:val="0022380E"/>
    <w:rsid w:val="00227A9D"/>
    <w:rsid w:val="00231556"/>
    <w:rsid w:val="00256186"/>
    <w:rsid w:val="00256D93"/>
    <w:rsid w:val="00274A48"/>
    <w:rsid w:val="0028299C"/>
    <w:rsid w:val="002A1001"/>
    <w:rsid w:val="002B1B0A"/>
    <w:rsid w:val="002C25B8"/>
    <w:rsid w:val="002C488E"/>
    <w:rsid w:val="002C5FD7"/>
    <w:rsid w:val="002C662A"/>
    <w:rsid w:val="002D689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0AFE"/>
    <w:rsid w:val="003C0D12"/>
    <w:rsid w:val="003C3D62"/>
    <w:rsid w:val="003D222C"/>
    <w:rsid w:val="003D242F"/>
    <w:rsid w:val="003F6C91"/>
    <w:rsid w:val="00404147"/>
    <w:rsid w:val="00411E09"/>
    <w:rsid w:val="00414A29"/>
    <w:rsid w:val="00415F7D"/>
    <w:rsid w:val="00421C03"/>
    <w:rsid w:val="0042421D"/>
    <w:rsid w:val="004321BB"/>
    <w:rsid w:val="00433049"/>
    <w:rsid w:val="00433F28"/>
    <w:rsid w:val="00434435"/>
    <w:rsid w:val="004436F1"/>
    <w:rsid w:val="004503D1"/>
    <w:rsid w:val="00451685"/>
    <w:rsid w:val="00460CE7"/>
    <w:rsid w:val="00464BF4"/>
    <w:rsid w:val="00464C5A"/>
    <w:rsid w:val="0047036E"/>
    <w:rsid w:val="00472D8C"/>
    <w:rsid w:val="00477D51"/>
    <w:rsid w:val="00484D9A"/>
    <w:rsid w:val="0048627A"/>
    <w:rsid w:val="00487E63"/>
    <w:rsid w:val="00492676"/>
    <w:rsid w:val="00493756"/>
    <w:rsid w:val="004C167F"/>
    <w:rsid w:val="004C558B"/>
    <w:rsid w:val="004D491B"/>
    <w:rsid w:val="004D4D59"/>
    <w:rsid w:val="004D6353"/>
    <w:rsid w:val="004E1D9B"/>
    <w:rsid w:val="004E24D2"/>
    <w:rsid w:val="004E470A"/>
    <w:rsid w:val="004F1542"/>
    <w:rsid w:val="004F1E17"/>
    <w:rsid w:val="0050054C"/>
    <w:rsid w:val="005049EA"/>
    <w:rsid w:val="00507981"/>
    <w:rsid w:val="00511E62"/>
    <w:rsid w:val="00517D66"/>
    <w:rsid w:val="00526CC2"/>
    <w:rsid w:val="00527B2C"/>
    <w:rsid w:val="005403E1"/>
    <w:rsid w:val="00541AB5"/>
    <w:rsid w:val="00552586"/>
    <w:rsid w:val="00554E32"/>
    <w:rsid w:val="00563E44"/>
    <w:rsid w:val="00564E41"/>
    <w:rsid w:val="0056592F"/>
    <w:rsid w:val="0057779C"/>
    <w:rsid w:val="0058171B"/>
    <w:rsid w:val="005904C1"/>
    <w:rsid w:val="00591B1F"/>
    <w:rsid w:val="0059723A"/>
    <w:rsid w:val="005A386D"/>
    <w:rsid w:val="005A6C19"/>
    <w:rsid w:val="005A70E8"/>
    <w:rsid w:val="005B0BE2"/>
    <w:rsid w:val="005B3645"/>
    <w:rsid w:val="005B7B02"/>
    <w:rsid w:val="005C3475"/>
    <w:rsid w:val="005D4D47"/>
    <w:rsid w:val="005D6231"/>
    <w:rsid w:val="005E0DE1"/>
    <w:rsid w:val="005E1DA0"/>
    <w:rsid w:val="005F1781"/>
    <w:rsid w:val="005F3FA0"/>
    <w:rsid w:val="005F4045"/>
    <w:rsid w:val="005F4630"/>
    <w:rsid w:val="005F4F12"/>
    <w:rsid w:val="005F69D4"/>
    <w:rsid w:val="005F6D2A"/>
    <w:rsid w:val="005F7032"/>
    <w:rsid w:val="00603803"/>
    <w:rsid w:val="00606B26"/>
    <w:rsid w:val="00616868"/>
    <w:rsid w:val="00631561"/>
    <w:rsid w:val="00631F2D"/>
    <w:rsid w:val="00632AB8"/>
    <w:rsid w:val="006351C9"/>
    <w:rsid w:val="0063570A"/>
    <w:rsid w:val="00643D1E"/>
    <w:rsid w:val="00652E4A"/>
    <w:rsid w:val="00662EEE"/>
    <w:rsid w:val="0066425A"/>
    <w:rsid w:val="00666A27"/>
    <w:rsid w:val="0068038C"/>
    <w:rsid w:val="006816D5"/>
    <w:rsid w:val="0068644F"/>
    <w:rsid w:val="0069765D"/>
    <w:rsid w:val="006B474F"/>
    <w:rsid w:val="006C39D6"/>
    <w:rsid w:val="006E4F9B"/>
    <w:rsid w:val="006F6060"/>
    <w:rsid w:val="00723084"/>
    <w:rsid w:val="00723C83"/>
    <w:rsid w:val="00731C2C"/>
    <w:rsid w:val="007454E1"/>
    <w:rsid w:val="00754DEB"/>
    <w:rsid w:val="00760DA4"/>
    <w:rsid w:val="0078706C"/>
    <w:rsid w:val="00794BBA"/>
    <w:rsid w:val="007A6CCD"/>
    <w:rsid w:val="007B3901"/>
    <w:rsid w:val="007C4621"/>
    <w:rsid w:val="007C515D"/>
    <w:rsid w:val="007D25F4"/>
    <w:rsid w:val="007D3CBE"/>
    <w:rsid w:val="007E13DD"/>
    <w:rsid w:val="007E61CD"/>
    <w:rsid w:val="007E69A7"/>
    <w:rsid w:val="007F020D"/>
    <w:rsid w:val="0080115A"/>
    <w:rsid w:val="00823898"/>
    <w:rsid w:val="00823E0E"/>
    <w:rsid w:val="00840CE4"/>
    <w:rsid w:val="0084149A"/>
    <w:rsid w:val="008458DC"/>
    <w:rsid w:val="00845DE2"/>
    <w:rsid w:val="00861741"/>
    <w:rsid w:val="00877491"/>
    <w:rsid w:val="008776F2"/>
    <w:rsid w:val="0088277E"/>
    <w:rsid w:val="00885CDA"/>
    <w:rsid w:val="00886F64"/>
    <w:rsid w:val="008A21AD"/>
    <w:rsid w:val="008A2C34"/>
    <w:rsid w:val="008C0EC5"/>
    <w:rsid w:val="008C11F4"/>
    <w:rsid w:val="008C1CE1"/>
    <w:rsid w:val="008C5B72"/>
    <w:rsid w:val="008D3ED4"/>
    <w:rsid w:val="008E605F"/>
    <w:rsid w:val="008F1178"/>
    <w:rsid w:val="008F527B"/>
    <w:rsid w:val="008F720C"/>
    <w:rsid w:val="009027AC"/>
    <w:rsid w:val="00905A8C"/>
    <w:rsid w:val="00906736"/>
    <w:rsid w:val="00911362"/>
    <w:rsid w:val="009143BA"/>
    <w:rsid w:val="00917C1D"/>
    <w:rsid w:val="00924D6A"/>
    <w:rsid w:val="009273D0"/>
    <w:rsid w:val="00927800"/>
    <w:rsid w:val="009336EA"/>
    <w:rsid w:val="00940B7B"/>
    <w:rsid w:val="0094262B"/>
    <w:rsid w:val="00947C44"/>
    <w:rsid w:val="00954332"/>
    <w:rsid w:val="00954F33"/>
    <w:rsid w:val="009871F2"/>
    <w:rsid w:val="009B241F"/>
    <w:rsid w:val="009C53B2"/>
    <w:rsid w:val="009C6B16"/>
    <w:rsid w:val="009D1477"/>
    <w:rsid w:val="009F5830"/>
    <w:rsid w:val="009F6CF5"/>
    <w:rsid w:val="00A133D9"/>
    <w:rsid w:val="00A14A58"/>
    <w:rsid w:val="00A22C5D"/>
    <w:rsid w:val="00A246C5"/>
    <w:rsid w:val="00A50388"/>
    <w:rsid w:val="00A528C4"/>
    <w:rsid w:val="00A72659"/>
    <w:rsid w:val="00A813DF"/>
    <w:rsid w:val="00A83501"/>
    <w:rsid w:val="00A8700B"/>
    <w:rsid w:val="00A877E1"/>
    <w:rsid w:val="00A87F41"/>
    <w:rsid w:val="00A9544F"/>
    <w:rsid w:val="00A957CE"/>
    <w:rsid w:val="00AA08DA"/>
    <w:rsid w:val="00AC04FA"/>
    <w:rsid w:val="00AC62FD"/>
    <w:rsid w:val="00AD7443"/>
    <w:rsid w:val="00AD76C2"/>
    <w:rsid w:val="00AD7771"/>
    <w:rsid w:val="00AE2884"/>
    <w:rsid w:val="00AE38EA"/>
    <w:rsid w:val="00AF38A5"/>
    <w:rsid w:val="00AF4CB7"/>
    <w:rsid w:val="00AF5A66"/>
    <w:rsid w:val="00AF7DAD"/>
    <w:rsid w:val="00B038B9"/>
    <w:rsid w:val="00B04575"/>
    <w:rsid w:val="00B25F1A"/>
    <w:rsid w:val="00B32AB2"/>
    <w:rsid w:val="00B446FE"/>
    <w:rsid w:val="00B53428"/>
    <w:rsid w:val="00B62622"/>
    <w:rsid w:val="00B65E35"/>
    <w:rsid w:val="00B70FE6"/>
    <w:rsid w:val="00B71CBF"/>
    <w:rsid w:val="00B76A04"/>
    <w:rsid w:val="00B77A04"/>
    <w:rsid w:val="00B80FB0"/>
    <w:rsid w:val="00B90121"/>
    <w:rsid w:val="00B92279"/>
    <w:rsid w:val="00B95FFB"/>
    <w:rsid w:val="00BA7B8E"/>
    <w:rsid w:val="00BB5BCD"/>
    <w:rsid w:val="00BB653E"/>
    <w:rsid w:val="00BC1662"/>
    <w:rsid w:val="00BC7CAF"/>
    <w:rsid w:val="00BE0E4F"/>
    <w:rsid w:val="00BE7750"/>
    <w:rsid w:val="00C01F47"/>
    <w:rsid w:val="00C04DEF"/>
    <w:rsid w:val="00C1220A"/>
    <w:rsid w:val="00C1306C"/>
    <w:rsid w:val="00C14EA7"/>
    <w:rsid w:val="00C54224"/>
    <w:rsid w:val="00C643F8"/>
    <w:rsid w:val="00C7067C"/>
    <w:rsid w:val="00C77064"/>
    <w:rsid w:val="00C94414"/>
    <w:rsid w:val="00CB02E3"/>
    <w:rsid w:val="00CD087E"/>
    <w:rsid w:val="00CD0ED4"/>
    <w:rsid w:val="00CD577B"/>
    <w:rsid w:val="00CE091D"/>
    <w:rsid w:val="00CE4D77"/>
    <w:rsid w:val="00CF23AA"/>
    <w:rsid w:val="00CF2ADA"/>
    <w:rsid w:val="00CF5009"/>
    <w:rsid w:val="00CF6221"/>
    <w:rsid w:val="00D04180"/>
    <w:rsid w:val="00D20370"/>
    <w:rsid w:val="00D2097A"/>
    <w:rsid w:val="00D24090"/>
    <w:rsid w:val="00D24A2A"/>
    <w:rsid w:val="00D26062"/>
    <w:rsid w:val="00D34FB5"/>
    <w:rsid w:val="00D364AF"/>
    <w:rsid w:val="00D41F78"/>
    <w:rsid w:val="00D47CE2"/>
    <w:rsid w:val="00D673B5"/>
    <w:rsid w:val="00D70AD5"/>
    <w:rsid w:val="00D71ED6"/>
    <w:rsid w:val="00D7319B"/>
    <w:rsid w:val="00D76989"/>
    <w:rsid w:val="00D94BA9"/>
    <w:rsid w:val="00DA5EC1"/>
    <w:rsid w:val="00DC0517"/>
    <w:rsid w:val="00DC352F"/>
    <w:rsid w:val="00DE2361"/>
    <w:rsid w:val="00DF1E88"/>
    <w:rsid w:val="00E00862"/>
    <w:rsid w:val="00E0572F"/>
    <w:rsid w:val="00E13B21"/>
    <w:rsid w:val="00E210D9"/>
    <w:rsid w:val="00E372E4"/>
    <w:rsid w:val="00E458C2"/>
    <w:rsid w:val="00E56F61"/>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F2A6F"/>
    <w:rsid w:val="00F003CA"/>
    <w:rsid w:val="00F11CE9"/>
    <w:rsid w:val="00F14CCD"/>
    <w:rsid w:val="00F24DAD"/>
    <w:rsid w:val="00F31CF4"/>
    <w:rsid w:val="00F415A9"/>
    <w:rsid w:val="00F45F40"/>
    <w:rsid w:val="00F57741"/>
    <w:rsid w:val="00F647C0"/>
    <w:rsid w:val="00F7392C"/>
    <w:rsid w:val="00F74D49"/>
    <w:rsid w:val="00F84486"/>
    <w:rsid w:val="00F875EF"/>
    <w:rsid w:val="00F879EA"/>
    <w:rsid w:val="00F927BD"/>
    <w:rsid w:val="00FA1A63"/>
    <w:rsid w:val="00FB20A4"/>
    <w:rsid w:val="00FB6AF9"/>
    <w:rsid w:val="00FC3E6F"/>
    <w:rsid w:val="00FC463A"/>
    <w:rsid w:val="00FD0F40"/>
    <w:rsid w:val="00FD294E"/>
    <w:rsid w:val="00FD6139"/>
    <w:rsid w:val="00FD637F"/>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serussell.com" TargetMode="External"/><Relationship Id="rId5" Type="http://schemas.openxmlformats.org/officeDocument/2006/relationships/webSettings" Target="webSettings.xml"/><Relationship Id="rId10" Type="http://schemas.openxmlformats.org/officeDocument/2006/relationships/hyperlink" Target="http://www.plainenglis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9220-B921-414C-BABF-39D40A45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5899</Words>
  <Characters>33629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Jessica Mallett</cp:lastModifiedBy>
  <cp:revision>2</cp:revision>
  <cp:lastPrinted>2019-12-20T09:00:00Z</cp:lastPrinted>
  <dcterms:created xsi:type="dcterms:W3CDTF">2021-01-18T13:38:00Z</dcterms:created>
  <dcterms:modified xsi:type="dcterms:W3CDTF">2021-01-18T13:38:00Z</dcterms:modified>
</cp:coreProperties>
</file>