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0508BAF0" w:rsidR="003A6EF6" w:rsidRPr="003A6EF6" w:rsidRDefault="00E44D0F" w:rsidP="00367681">
      <w:pPr>
        <w:pStyle w:val="NoSpacing"/>
        <w:rPr>
          <w:rFonts w:ascii="Arial" w:hAnsi="Arial" w:cs="Arial"/>
          <w:b/>
          <w:sz w:val="20"/>
          <w:szCs w:val="20"/>
          <w:lang w:eastAsia="en-GB"/>
        </w:rPr>
      </w:pPr>
      <w:bookmarkStart w:id="0" w:name="_GoBack"/>
      <w:bookmarkEnd w:id="0"/>
      <w:r>
        <w:rPr>
          <w:rFonts w:ascii="Arial" w:hAnsi="Arial" w:cs="Arial"/>
          <w:b/>
          <w:noProof/>
          <w:sz w:val="20"/>
          <w:szCs w:val="20"/>
          <w:lang w:eastAsia="en-GB"/>
        </w:rPr>
        <w:t xml:space="preserve"> </w:t>
      </w:r>
      <w:r w:rsidR="00110784"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7E445641"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F10012">
        <w:rPr>
          <w:rFonts w:ascii="Arial" w:hAnsi="Arial" w:cs="Al Bayan Plain"/>
          <w:bCs/>
          <w:color w:val="B19D40"/>
          <w:sz w:val="32"/>
          <w:szCs w:val="32"/>
          <w:shd w:val="clear" w:color="auto" w:fill="FFFFFF" w:themeFill="background1"/>
        </w:rPr>
        <w:t xml:space="preserve">March </w:t>
      </w:r>
      <w:r w:rsidR="00283EB6">
        <w:rPr>
          <w:rFonts w:ascii="Arial" w:hAnsi="Arial" w:cs="Al Bayan Plain"/>
          <w:bCs/>
          <w:color w:val="B19D40"/>
          <w:sz w:val="32"/>
          <w:szCs w:val="32"/>
          <w:shd w:val="clear" w:color="auto" w:fill="FFFFFF" w:themeFill="background1"/>
        </w:rPr>
        <w:t>2021</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7B850F11"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8E0BB7">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49C7A66D"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76770990"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35982521"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8D03414"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414872A7"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64AC7DB2"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011EEB1C"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7E7C29E9"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28F17B08"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33864D53"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4022775D"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997509B" w14:textId="02418F94"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01BE19FE"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65BE52D7"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7193D9DB" w14:textId="42EE2C75" w:rsidR="00B40CC0" w:rsidRPr="0074454D" w:rsidRDefault="00C54374">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1EADE6D7"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10012">
        <w:rPr>
          <w:rFonts w:ascii="Arial" w:hAnsi="Arial" w:cs="Arial"/>
          <w:b/>
          <w:color w:val="000000"/>
          <w:sz w:val="20"/>
          <w:szCs w:val="20"/>
        </w:rPr>
        <w:t xml:space="preserve">March </w:t>
      </w:r>
      <w:r w:rsidR="00283EB6">
        <w:rPr>
          <w:rFonts w:ascii="Arial" w:hAnsi="Arial" w:cs="Arial"/>
          <w:b/>
          <w:color w:val="000000"/>
          <w:sz w:val="20"/>
          <w:szCs w:val="20"/>
        </w:rPr>
        <w:t>2021</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1" w:name="_Toc18054571"/>
      <w:r w:rsidRPr="0074454D">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2" w:name="_Toc18054572"/>
      <w:r w:rsidRPr="0074454D">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7777777"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4FF87E44" w14:textId="464B5108" w:rsidR="00D71ED6" w:rsidRPr="003A6EF6" w:rsidRDefault="00E97F11" w:rsidP="0074454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00E94B02" w:rsidRPr="003A6EF6">
        <w:rPr>
          <w:rFonts w:ascii="Arial" w:eastAsiaTheme="minorEastAsia" w:hAnsi="Arial" w:cs="Arial"/>
          <w:color w:val="000000" w:themeColor="text1"/>
          <w:kern w:val="24"/>
          <w:sz w:val="20"/>
          <w:szCs w:val="20"/>
          <w:lang w:eastAsia="en-GB"/>
        </w:rPr>
        <w:t>and</w:t>
      </w:r>
    </w:p>
    <w:p w14:paraId="0B10D5CA" w14:textId="2228A4FF" w:rsidR="007C515D" w:rsidRPr="003A6EF6" w:rsidRDefault="00E97F11" w:rsidP="00E97F11">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Pr>
          <w:rFonts w:ascii="Arial" w:eastAsiaTheme="minorEastAsia" w:hAnsi="Arial" w:cs="Arial"/>
          <w:color w:val="000000" w:themeColor="text1"/>
          <w:kern w:val="24"/>
          <w:sz w:val="20"/>
          <w:szCs w:val="20"/>
          <w:lang w:eastAsia="en-GB"/>
        </w:rPr>
        <w:t>which</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may </w:t>
      </w:r>
      <w:r>
        <w:rPr>
          <w:rFonts w:ascii="Arial" w:eastAsiaTheme="minorEastAsia" w:hAnsi="Arial" w:cs="Arial"/>
          <w:color w:val="000000" w:themeColor="text1"/>
          <w:kern w:val="24"/>
          <w:sz w:val="20"/>
          <w:szCs w:val="20"/>
          <w:lang w:eastAsia="en-GB"/>
        </w:rPr>
        <w:t xml:space="preserve">be </w:t>
      </w:r>
      <w:r w:rsidR="00947C44" w:rsidRPr="003A6EF6">
        <w:rPr>
          <w:rFonts w:ascii="Arial" w:eastAsiaTheme="minorEastAsia" w:hAnsi="Arial" w:cs="Arial"/>
          <w:color w:val="000000" w:themeColor="text1"/>
          <w:kern w:val="24"/>
          <w:sz w:val="20"/>
          <w:szCs w:val="20"/>
          <w:lang w:eastAsia="en-GB"/>
        </w:rPr>
        <w:t>generate</w:t>
      </w:r>
      <w:r w:rsidR="00E95CE3">
        <w:rPr>
          <w:rFonts w:ascii="Arial" w:eastAsiaTheme="minorEastAsia" w:hAnsi="Arial" w:cs="Arial"/>
          <w:color w:val="000000" w:themeColor="text1"/>
          <w:kern w:val="24"/>
          <w:sz w:val="20"/>
          <w:szCs w:val="20"/>
          <w:lang w:eastAsia="en-GB"/>
        </w:rPr>
        <w:t>d</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Pr>
          <w:rFonts w:ascii="Arial" w:eastAsiaTheme="minorEastAsia" w:hAnsi="Arial" w:cs="Arial"/>
          <w:color w:val="000000" w:themeColor="text1"/>
          <w:kern w:val="24"/>
          <w:sz w:val="20"/>
          <w:szCs w:val="20"/>
          <w:lang w:eastAsia="en-GB"/>
        </w:rPr>
        <w:t>who stand</w:t>
      </w:r>
      <w:r w:rsidR="00E95CE3">
        <w:rPr>
          <w:rFonts w:ascii="Arial" w:eastAsiaTheme="minorEastAsia" w:hAnsi="Arial" w:cs="Arial"/>
          <w:color w:val="000000" w:themeColor="text1"/>
          <w:kern w:val="24"/>
          <w:sz w:val="20"/>
          <w:szCs w:val="20"/>
          <w:lang w:eastAsia="en-GB"/>
        </w:rPr>
        <w:t>s</w:t>
      </w:r>
      <w:r>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3"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3"/>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77777777"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EDC6BF4"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E97F11">
        <w:rPr>
          <w:rFonts w:ascii="Arial" w:hAnsi="Arial" w:cs="Arial"/>
          <w:sz w:val="20"/>
          <w:szCs w:val="20"/>
        </w:rPr>
        <w:t>, with the current Covid-19 crisis</w:t>
      </w:r>
      <w:r w:rsidRPr="003A6EF6">
        <w:rPr>
          <w:rFonts w:ascii="Arial" w:hAnsi="Arial" w:cs="Arial"/>
          <w:sz w:val="20"/>
          <w:szCs w:val="20"/>
        </w:rPr>
        <w:t>.</w:t>
      </w:r>
    </w:p>
    <w:p w14:paraId="29CCAB65" w14:textId="292652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E36B5D6" w14:textId="41020AD1" w:rsidR="00E97F11" w:rsidRPr="00A133D9" w:rsidRDefault="00E97F11"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4" w:name="_Toc18054574"/>
      <w:r w:rsidRPr="0074454D">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5" w:name="_Toc18054575"/>
      <w:r w:rsidRPr="0074454D">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107D76E3"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will generate a fixed return of</w:t>
      </w:r>
      <w:r w:rsidR="00F539BF" w:rsidRPr="00F539BF">
        <w:rPr>
          <w:rFonts w:ascii="Arial" w:hAnsi="Arial" w:cs="Arial"/>
          <w:sz w:val="20"/>
          <w:szCs w:val="20"/>
        </w:rPr>
        <w:t xml:space="preserve"> </w:t>
      </w:r>
      <w:r w:rsidR="00F10012">
        <w:rPr>
          <w:rFonts w:ascii="Arial" w:hAnsi="Arial" w:cs="Arial"/>
          <w:sz w:val="20"/>
          <w:szCs w:val="20"/>
        </w:rPr>
        <w:t>6.9</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2773C3">
        <w:rPr>
          <w:rFonts w:ascii="Arial" w:hAnsi="Arial" w:cs="Arial"/>
          <w:sz w:val="20"/>
          <w:szCs w:val="20"/>
        </w:rPr>
        <w:t>65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8469F75"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6"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8601FCD"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below the start level on the end date.</w:t>
      </w:r>
    </w:p>
    <w:p w14:paraId="2D7E2ECE" w14:textId="19313B10"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F10012">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7" w:name="_Toc18054577"/>
      <w:r w:rsidRPr="0074454D">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4BC5D6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7959143B"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F7984A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01D4DFE0" w14:textId="1F62A3DC"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656093">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656093">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negatively, including </w:t>
      </w:r>
      <w:r w:rsidR="00597836">
        <w:rPr>
          <w:rFonts w:ascii="Arial" w:hAnsi="Arial" w:cs="Arial"/>
          <w:sz w:val="20"/>
          <w:szCs w:val="20"/>
        </w:rPr>
        <w:t>at times</w:t>
      </w:r>
      <w:r w:rsidRPr="003A6EF6">
        <w:rPr>
          <w:rFonts w:ascii="Arial" w:hAnsi="Arial" w:cs="Arial"/>
          <w:sz w:val="20"/>
          <w:szCs w:val="20"/>
        </w:rPr>
        <w:t xml:space="preserve"> when the UK stock market moves sideways or falls</w:t>
      </w:r>
      <w:r w:rsidR="000C78A4">
        <w:rPr>
          <w:rFonts w:ascii="Arial" w:hAnsi="Arial" w:cs="Arial"/>
          <w:sz w:val="20"/>
          <w:szCs w:val="20"/>
        </w:rPr>
        <w:t>, and when companies in the FTSE 100 FDEW reduce the level of the dividends which they pay</w:t>
      </w:r>
      <w:r w:rsidRPr="003A6EF6">
        <w:rPr>
          <w:rFonts w:ascii="Arial" w:hAnsi="Arial" w:cs="Arial"/>
          <w:sz w:val="20"/>
          <w:szCs w:val="20"/>
        </w:rPr>
        <w:t>.</w:t>
      </w:r>
    </w:p>
    <w:p w14:paraId="5421F920" w14:textId="410AEA64" w:rsidR="00CB02E3"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2DF18FF4" w14:textId="2187ABB7" w:rsidR="000C78A4" w:rsidRDefault="00925E48" w:rsidP="00A133D9">
      <w:pPr>
        <w:pStyle w:val="NoSpacing"/>
        <w:spacing w:before="120" w:after="120"/>
        <w:rPr>
          <w:rFonts w:ascii="Arial" w:hAnsi="Arial" w:cs="Arial"/>
          <w:sz w:val="20"/>
          <w:szCs w:val="20"/>
        </w:rPr>
      </w:pPr>
      <w:bookmarkStart w:id="8" w:name="_Hlk40113523"/>
      <w:r>
        <w:rPr>
          <w:rFonts w:ascii="Arial" w:hAnsi="Arial" w:cs="Arial"/>
          <w:b/>
          <w:bCs/>
          <w:sz w:val="20"/>
          <w:szCs w:val="20"/>
        </w:rPr>
        <w:t>It</w:t>
      </w:r>
      <w:r w:rsidR="000C78A4"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0C78A4"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0C78A4" w:rsidRPr="000C78A4">
        <w:rPr>
          <w:rFonts w:ascii="Arial" w:hAnsi="Arial" w:cs="Arial"/>
          <w:b/>
          <w:bCs/>
          <w:sz w:val="20"/>
          <w:szCs w:val="20"/>
        </w:rPr>
        <w:t>.</w:t>
      </w:r>
      <w:r w:rsidR="000C78A4">
        <w:rPr>
          <w:rFonts w:ascii="Arial" w:hAnsi="Arial" w:cs="Arial"/>
          <w:sz w:val="20"/>
          <w:szCs w:val="20"/>
        </w:rPr>
        <w:t xml:space="preserve"> </w:t>
      </w:r>
      <w:r w:rsidR="009B241F" w:rsidRPr="003A6EF6">
        <w:rPr>
          <w:rFonts w:ascii="Arial" w:hAnsi="Arial" w:cs="Arial"/>
          <w:b/>
          <w:sz w:val="20"/>
          <w:szCs w:val="20"/>
        </w:rPr>
        <w:t xml:space="preserve">You can find </w:t>
      </w:r>
      <w:r w:rsidR="000C78A4" w:rsidRPr="000C78A4">
        <w:rPr>
          <w:rFonts w:ascii="Arial" w:hAnsi="Arial" w:cs="Arial"/>
          <w:b/>
          <w:sz w:val="20"/>
          <w:szCs w:val="20"/>
        </w:rPr>
        <w:t xml:space="preserve">information about this </w:t>
      </w:r>
      <w:r w:rsidR="000C78A4" w:rsidRPr="000C78A4">
        <w:rPr>
          <w:rFonts w:ascii="Arial" w:hAnsi="Arial" w:cs="Arial"/>
          <w:b/>
          <w:bCs/>
          <w:sz w:val="20"/>
          <w:szCs w:val="20"/>
        </w:rPr>
        <w:t>and</w:t>
      </w:r>
      <w:r w:rsidR="000C78A4">
        <w:rPr>
          <w:rFonts w:ascii="Arial" w:hAnsi="Arial" w:cs="Arial"/>
          <w:sz w:val="20"/>
          <w:szCs w:val="20"/>
        </w:rPr>
        <w:t xml:space="preserve"> </w:t>
      </w:r>
      <w:r w:rsidR="009B241F" w:rsidRPr="003A6EF6">
        <w:rPr>
          <w:rFonts w:ascii="Arial" w:hAnsi="Arial" w:cs="Arial"/>
          <w:b/>
          <w:sz w:val="20"/>
          <w:szCs w:val="20"/>
        </w:rPr>
        <w:t>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000C78A4" w:rsidRPr="000C78A4">
        <w:rPr>
          <w:rFonts w:ascii="Arial" w:hAnsi="Arial" w:cs="Arial"/>
          <w:sz w:val="20"/>
          <w:szCs w:val="20"/>
        </w:rPr>
        <w:t xml:space="preserve"> </w:t>
      </w:r>
    </w:p>
    <w:p w14:paraId="5198B54B" w14:textId="7813709B"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8"/>
    <w:p w14:paraId="30F5922D" w14:textId="2D999D4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9" w:name="_Toc18054578"/>
      <w:r w:rsidRPr="0074454D">
        <w:rPr>
          <w:rFonts w:ascii="Arial" w:hAnsi="Arial" w:cs="Arial"/>
          <w:b/>
          <w:bCs/>
          <w:color w:val="000000" w:themeColor="text1"/>
          <w:sz w:val="24"/>
          <w:szCs w:val="24"/>
        </w:rPr>
        <w:t xml:space="preserve">Who is involved in the </w:t>
      </w:r>
      <w:proofErr w:type="gramStart"/>
      <w:r w:rsidRPr="0074454D">
        <w:rPr>
          <w:rFonts w:ascii="Arial" w:hAnsi="Arial" w:cs="Arial"/>
          <w:b/>
          <w:bCs/>
          <w:color w:val="000000" w:themeColor="text1"/>
          <w:sz w:val="24"/>
          <w:szCs w:val="24"/>
        </w:rPr>
        <w:t>p</w:t>
      </w:r>
      <w:r w:rsidR="00632AB8" w:rsidRPr="0074454D">
        <w:rPr>
          <w:rFonts w:ascii="Arial" w:hAnsi="Arial" w:cs="Arial"/>
          <w:b/>
          <w:bCs/>
          <w:color w:val="000000" w:themeColor="text1"/>
          <w:sz w:val="24"/>
          <w:szCs w:val="24"/>
        </w:rPr>
        <w:t>lan</w:t>
      </w:r>
      <w:bookmarkEnd w:id="9"/>
      <w:proofErr w:type="gramEnd"/>
    </w:p>
    <w:p w14:paraId="431F5EB7" w14:textId="10F5FEFF" w:rsidR="00487E63" w:rsidRPr="0074454D" w:rsidRDefault="00632AB8" w:rsidP="0074454D">
      <w:pPr>
        <w:pStyle w:val="Heading2"/>
        <w:rPr>
          <w:rFonts w:ascii="Arial" w:hAnsi="Arial" w:cs="Arial"/>
          <w:b/>
          <w:sz w:val="20"/>
          <w:szCs w:val="20"/>
        </w:rPr>
      </w:pPr>
      <w:bookmarkStart w:id="10" w:name="_Toc18054506"/>
      <w:bookmarkStart w:id="11"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10"/>
      <w:bookmarkEnd w:id="11"/>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2" w:name="_Toc18054507"/>
      <w:bookmarkStart w:id="13" w:name="_Toc18054580"/>
      <w:r w:rsidRPr="0074454D">
        <w:rPr>
          <w:rFonts w:ascii="Arial" w:hAnsi="Arial" w:cs="Arial"/>
          <w:b/>
          <w:bCs/>
          <w:color w:val="000000" w:themeColor="text1"/>
          <w:sz w:val="20"/>
          <w:szCs w:val="20"/>
        </w:rPr>
        <w:t>Plan Administrator</w:t>
      </w:r>
      <w:bookmarkEnd w:id="12"/>
      <w:bookmarkEnd w:id="13"/>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4" w:name="_Toc18054508"/>
      <w:bookmarkStart w:id="15"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4"/>
      <w:bookmarkEnd w:id="15"/>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85CD6D6"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682C3C">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283EB6">
        <w:rPr>
          <w:rFonts w:ascii="Arial" w:hAnsi="Arial" w:cs="Arial"/>
          <w:sz w:val="20"/>
          <w:szCs w:val="20"/>
        </w:rPr>
        <w:t>02 Nov</w:t>
      </w:r>
      <w:r w:rsidR="002773C3">
        <w:rPr>
          <w:rFonts w:ascii="Arial" w:hAnsi="Arial" w:cs="Arial"/>
          <w:sz w:val="20"/>
          <w:szCs w:val="20"/>
        </w:rPr>
        <w:t xml:space="preserve"> </w:t>
      </w:r>
      <w:r w:rsidR="00F539BF">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6"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6"/>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7"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7"/>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8" w:name="_Toc18054583"/>
      <w:r w:rsidRPr="0074454D">
        <w:rPr>
          <w:rFonts w:ascii="Arial" w:hAnsi="Arial" w:cs="Arial"/>
          <w:b/>
          <w:bCs/>
          <w:color w:val="000000" w:themeColor="text1"/>
          <w:sz w:val="24"/>
          <w:szCs w:val="24"/>
        </w:rPr>
        <w:t>Other risks you should be aware of and consider</w:t>
      </w:r>
      <w:bookmarkEnd w:id="18"/>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9"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9"/>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20" w:name="_Toc18054585"/>
      <w:r w:rsidRPr="0074454D">
        <w:rPr>
          <w:rFonts w:ascii="Arial" w:hAnsi="Arial" w:cs="Arial"/>
          <w:b/>
          <w:bCs/>
          <w:color w:val="000000" w:themeColor="text1"/>
          <w:sz w:val="24"/>
          <w:szCs w:val="24"/>
        </w:rPr>
        <w:t>Charges</w:t>
      </w:r>
      <w:bookmarkEnd w:id="20"/>
      <w:r w:rsidRPr="0074454D">
        <w:rPr>
          <w:rFonts w:ascii="Arial" w:hAnsi="Arial" w:cs="Arial"/>
          <w:b/>
          <w:bCs/>
          <w:color w:val="000000" w:themeColor="text1"/>
          <w:sz w:val="24"/>
          <w:szCs w:val="24"/>
        </w:rPr>
        <w:t xml:space="preserve"> </w:t>
      </w:r>
    </w:p>
    <w:p w14:paraId="7985997F" w14:textId="319DFFE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10012">
        <w:rPr>
          <w:rFonts w:ascii="Arial" w:hAnsi="Arial" w:cs="Arial"/>
          <w:color w:val="000000"/>
          <w:sz w:val="20"/>
          <w:szCs w:val="20"/>
        </w:rPr>
        <w:t xml:space="preserve">providing for </w:t>
      </w:r>
      <w:r w:rsidRPr="003A6EF6">
        <w:rPr>
          <w:rFonts w:ascii="Arial" w:hAnsi="Arial" w:cs="Arial"/>
          <w:color w:val="000000"/>
          <w:sz w:val="20"/>
          <w:szCs w:val="20"/>
        </w:rPr>
        <w:t xml:space="preserve">administration and custody costs. </w:t>
      </w:r>
    </w:p>
    <w:p w14:paraId="669C48D2" w14:textId="7619788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925E48">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1"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1"/>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29056F18"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w:t>
            </w:r>
            <w:r w:rsidR="003463DB">
              <w:rPr>
                <w:rFonts w:ascii="Arial" w:hAnsi="Arial" w:cs="Arial"/>
                <w:sz w:val="20"/>
                <w:szCs w:val="20"/>
              </w:rPr>
              <w:t xml:space="preserve">reducing from 100% on the third anniversary to </w:t>
            </w:r>
            <w:r w:rsidR="002773C3">
              <w:rPr>
                <w:rFonts w:ascii="Arial" w:hAnsi="Arial" w:cs="Arial"/>
                <w:sz w:val="20"/>
                <w:szCs w:val="20"/>
              </w:rPr>
              <w:t>65</w:t>
            </w:r>
            <w:r w:rsidR="003463DB">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0B38751"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10012">
              <w:rPr>
                <w:rFonts w:ascii="Arial" w:hAnsi="Arial" w:cs="Arial"/>
                <w:sz w:val="20"/>
                <w:szCs w:val="20"/>
              </w:rPr>
              <w:t>6.9</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F5B04D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100 FDEW closes at or above </w:t>
            </w:r>
            <w:r w:rsidR="002773C3">
              <w:rPr>
                <w:rFonts w:ascii="Arial" w:hAnsi="Arial" w:cs="Arial"/>
                <w:sz w:val="20"/>
                <w:szCs w:val="20"/>
              </w:rPr>
              <w:t>65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060BD067"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10012">
              <w:rPr>
                <w:rFonts w:ascii="Arial" w:hAnsi="Arial" w:cs="Arial"/>
                <w:sz w:val="20"/>
                <w:szCs w:val="20"/>
              </w:rPr>
              <w:t>69</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F10012">
              <w:rPr>
                <w:rFonts w:ascii="Arial" w:hAnsi="Arial" w:cs="Arial"/>
                <w:sz w:val="20"/>
                <w:szCs w:val="20"/>
              </w:rPr>
              <w:t>6.9</w:t>
            </w:r>
            <w:r w:rsidRPr="00F539BF">
              <w:rPr>
                <w:rFonts w:ascii="Arial" w:hAnsi="Arial" w:cs="Arial"/>
                <w:sz w:val="20"/>
                <w:szCs w:val="20"/>
              </w:rPr>
              <w:t>%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773C3" w:rsidRPr="003A6EF6" w14:paraId="24547BB6" w14:textId="77777777" w:rsidTr="002B1B0A">
        <w:tc>
          <w:tcPr>
            <w:tcW w:w="1271" w:type="dxa"/>
          </w:tcPr>
          <w:p w14:paraId="2480C71D" w14:textId="6E22B294"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lastRenderedPageBreak/>
              <w:t>If not …</w:t>
            </w:r>
          </w:p>
        </w:tc>
        <w:tc>
          <w:tcPr>
            <w:tcW w:w="3402" w:type="dxa"/>
          </w:tcPr>
          <w:p w14:paraId="7B637C66" w14:textId="46D169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 xml:space="preserve">if, at the end of the investment term, the FTSE 100 FDEW closes below </w:t>
            </w:r>
            <w:r>
              <w:rPr>
                <w:rFonts w:ascii="Arial" w:hAnsi="Arial" w:cs="Arial"/>
                <w:sz w:val="20"/>
                <w:szCs w:val="20"/>
              </w:rPr>
              <w:t>65</w:t>
            </w:r>
            <w:r w:rsidRPr="003A6EF6">
              <w:rPr>
                <w:rFonts w:ascii="Arial" w:hAnsi="Arial" w:cs="Arial"/>
                <w:sz w:val="20"/>
                <w:szCs w:val="20"/>
              </w:rPr>
              <w:t xml:space="preserve">% of the start level, but at or above </w:t>
            </w:r>
            <w:r w:rsidR="00F10012">
              <w:rPr>
                <w:rFonts w:ascii="Arial" w:hAnsi="Arial" w:cs="Arial"/>
                <w:sz w:val="20"/>
                <w:szCs w:val="20"/>
              </w:rPr>
              <w:t>50</w:t>
            </w:r>
            <w:r>
              <w:rPr>
                <w:rFonts w:ascii="Arial" w:hAnsi="Arial" w:cs="Arial"/>
                <w:sz w:val="20"/>
                <w:szCs w:val="20"/>
              </w:rPr>
              <w:t>%</w:t>
            </w:r>
            <w:r w:rsidRPr="003A6EF6">
              <w:rPr>
                <w:rFonts w:ascii="Arial" w:hAnsi="Arial" w:cs="Arial"/>
                <w:sz w:val="20"/>
                <w:szCs w:val="20"/>
              </w:rPr>
              <w:t xml:space="preserve"> of the start level ...</w:t>
            </w:r>
          </w:p>
        </w:tc>
        <w:tc>
          <w:tcPr>
            <w:tcW w:w="1140" w:type="dxa"/>
          </w:tcPr>
          <w:p w14:paraId="32A83F3B" w14:textId="14353815"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7B8E7CBE" w14:textId="58B53D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no return will be generated, but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327BB57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10012">
              <w:rPr>
                <w:rFonts w:ascii="Arial" w:hAnsi="Arial" w:cs="Arial"/>
                <w:sz w:val="20"/>
                <w:szCs w:val="20"/>
              </w:rPr>
              <w:t>50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22" w:name="_Toc18054587"/>
      <w:r w:rsidRPr="0074454D">
        <w:rPr>
          <w:rFonts w:ascii="Arial" w:hAnsi="Arial" w:cs="Arial"/>
          <w:b/>
          <w:bCs/>
          <w:color w:val="000000" w:themeColor="text1"/>
          <w:sz w:val="24"/>
          <w:szCs w:val="24"/>
        </w:rPr>
        <w:t>Is this plan suitable for you?</w:t>
      </w:r>
      <w:bookmarkEnd w:id="22"/>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1E5E1AB"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8D47C0">
        <w:rPr>
          <w:rFonts w:ascii="Arial" w:hAnsi="Arial" w:cs="Arial"/>
          <w:color w:val="000000"/>
          <w:sz w:val="20"/>
          <w:szCs w:val="20"/>
        </w:rPr>
        <w:t xml:space="preserve"> </w:t>
      </w:r>
      <w:r w:rsidR="008D47C0"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26009BE6" w14:textId="7762434B"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763630">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763630">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4B0F536F"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3"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3"/>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05F3C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4" w:name="_Toc18054589"/>
      <w:r w:rsidRPr="0074454D">
        <w:rPr>
          <w:rFonts w:ascii="Arial" w:hAnsi="Arial" w:cs="Arial"/>
          <w:b/>
          <w:bCs/>
          <w:color w:val="000000" w:themeColor="text1"/>
          <w:sz w:val="24"/>
          <w:szCs w:val="24"/>
        </w:rPr>
        <w:lastRenderedPageBreak/>
        <w:t>Final points</w:t>
      </w:r>
      <w:r w:rsidR="00CD577B" w:rsidRPr="0074454D">
        <w:rPr>
          <w:rFonts w:ascii="Arial" w:hAnsi="Arial" w:cs="Arial"/>
          <w:b/>
          <w:bCs/>
          <w:color w:val="000000" w:themeColor="text1"/>
          <w:sz w:val="24"/>
          <w:szCs w:val="24"/>
        </w:rPr>
        <w:t xml:space="preserve"> to emphasise</w:t>
      </w:r>
      <w:bookmarkEnd w:id="24"/>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580F1447"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0AD11E5E" w14:textId="50FF4CDE" w:rsidR="008D47C0" w:rsidRPr="008D47C0" w:rsidRDefault="00925E48" w:rsidP="008D47C0">
      <w:pPr>
        <w:pStyle w:val="NoSpacing"/>
        <w:spacing w:before="120" w:after="120"/>
        <w:rPr>
          <w:rFonts w:ascii="Arial" w:hAnsi="Arial" w:cs="Arial"/>
          <w:sz w:val="20"/>
          <w:szCs w:val="20"/>
        </w:rPr>
      </w:pPr>
      <w:r>
        <w:rPr>
          <w:rFonts w:ascii="Arial" w:hAnsi="Arial" w:cs="Arial"/>
          <w:sz w:val="20"/>
          <w:szCs w:val="20"/>
        </w:rPr>
        <w:t>It</w:t>
      </w:r>
      <w:r w:rsidR="008D47C0"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8D47C0"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8D47C0" w:rsidRPr="008D47C0">
        <w:rPr>
          <w:rFonts w:ascii="Arial" w:hAnsi="Arial" w:cs="Arial"/>
          <w:sz w:val="20"/>
          <w:szCs w:val="20"/>
        </w:rPr>
        <w:t>.</w:t>
      </w:r>
    </w:p>
    <w:p w14:paraId="5589D749" w14:textId="31A4B7F2"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29386EA1"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10012">
        <w:rPr>
          <w:rFonts w:ascii="Arial" w:hAnsi="Arial" w:cs="Arial"/>
          <w:sz w:val="20"/>
          <w:szCs w:val="20"/>
          <w:lang w:eastAsia="en-GB"/>
        </w:rPr>
        <w:t>05 Jan 2021</w:t>
      </w:r>
      <w:r>
        <w:rPr>
          <w:rFonts w:ascii="Arial" w:hAnsi="Arial" w:cs="Arial"/>
          <w:sz w:val="20"/>
          <w:szCs w:val="20"/>
          <w:lang w:eastAsia="en-GB"/>
        </w:rPr>
        <w:t>.</w:t>
      </w:r>
    </w:p>
    <w:p w14:paraId="66781D37" w14:textId="74F8EA1B"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10012">
        <w:rPr>
          <w:rFonts w:ascii="Arial" w:hAnsi="Arial" w:cs="Arial"/>
          <w:color w:val="000000"/>
          <w:sz w:val="20"/>
          <w:szCs w:val="20"/>
        </w:rPr>
        <w:t>2021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9B94" w14:textId="77777777" w:rsidR="00C54374" w:rsidRDefault="00C54374" w:rsidP="00D76989">
      <w:pPr>
        <w:spacing w:after="0" w:line="240" w:lineRule="auto"/>
      </w:pPr>
      <w:r>
        <w:separator/>
      </w:r>
    </w:p>
  </w:endnote>
  <w:endnote w:type="continuationSeparator" w:id="0">
    <w:p w14:paraId="522A046F" w14:textId="77777777" w:rsidR="00C54374" w:rsidRDefault="00C54374"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3AA2" w14:textId="77777777" w:rsidR="00C54374" w:rsidRDefault="00C54374" w:rsidP="00D76989">
      <w:pPr>
        <w:spacing w:after="0" w:line="240" w:lineRule="auto"/>
      </w:pPr>
      <w:r>
        <w:separator/>
      </w:r>
    </w:p>
  </w:footnote>
  <w:footnote w:type="continuationSeparator" w:id="0">
    <w:p w14:paraId="29A33772" w14:textId="77777777" w:rsidR="00C54374" w:rsidRDefault="00C54374"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580F"/>
    <w:rsid w:val="00076F8B"/>
    <w:rsid w:val="0007788A"/>
    <w:rsid w:val="00096127"/>
    <w:rsid w:val="00096EB1"/>
    <w:rsid w:val="000A3477"/>
    <w:rsid w:val="000A6451"/>
    <w:rsid w:val="000A705C"/>
    <w:rsid w:val="000C6BFF"/>
    <w:rsid w:val="000C78A4"/>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0C5B"/>
    <w:rsid w:val="00182218"/>
    <w:rsid w:val="001861CB"/>
    <w:rsid w:val="0018707B"/>
    <w:rsid w:val="00195110"/>
    <w:rsid w:val="001D0FD0"/>
    <w:rsid w:val="001D43CE"/>
    <w:rsid w:val="001E6D97"/>
    <w:rsid w:val="001F5D98"/>
    <w:rsid w:val="001F697D"/>
    <w:rsid w:val="0020496A"/>
    <w:rsid w:val="00213F36"/>
    <w:rsid w:val="00223080"/>
    <w:rsid w:val="0022380E"/>
    <w:rsid w:val="00227A9D"/>
    <w:rsid w:val="00231556"/>
    <w:rsid w:val="0023420D"/>
    <w:rsid w:val="00251302"/>
    <w:rsid w:val="00256186"/>
    <w:rsid w:val="00256D93"/>
    <w:rsid w:val="00261905"/>
    <w:rsid w:val="0026735A"/>
    <w:rsid w:val="00274A48"/>
    <w:rsid w:val="002773C3"/>
    <w:rsid w:val="0028299C"/>
    <w:rsid w:val="00283EB6"/>
    <w:rsid w:val="002A1001"/>
    <w:rsid w:val="002B1B0A"/>
    <w:rsid w:val="002C25B8"/>
    <w:rsid w:val="002C488E"/>
    <w:rsid w:val="002C5FD7"/>
    <w:rsid w:val="002C662A"/>
    <w:rsid w:val="002C778A"/>
    <w:rsid w:val="002D7D46"/>
    <w:rsid w:val="002E79C1"/>
    <w:rsid w:val="00305036"/>
    <w:rsid w:val="00305B40"/>
    <w:rsid w:val="00323806"/>
    <w:rsid w:val="00337300"/>
    <w:rsid w:val="00340BCF"/>
    <w:rsid w:val="00341404"/>
    <w:rsid w:val="00342F96"/>
    <w:rsid w:val="00344D07"/>
    <w:rsid w:val="003463DB"/>
    <w:rsid w:val="003472AB"/>
    <w:rsid w:val="0034791D"/>
    <w:rsid w:val="0035349F"/>
    <w:rsid w:val="00353D40"/>
    <w:rsid w:val="0036299C"/>
    <w:rsid w:val="003667A5"/>
    <w:rsid w:val="00367681"/>
    <w:rsid w:val="00367F8A"/>
    <w:rsid w:val="003706ED"/>
    <w:rsid w:val="00377992"/>
    <w:rsid w:val="00381C63"/>
    <w:rsid w:val="00385997"/>
    <w:rsid w:val="00397C54"/>
    <w:rsid w:val="00397E26"/>
    <w:rsid w:val="003A6EF6"/>
    <w:rsid w:val="003B2647"/>
    <w:rsid w:val="003B5D8F"/>
    <w:rsid w:val="003B77F0"/>
    <w:rsid w:val="003C3D62"/>
    <w:rsid w:val="003D21FB"/>
    <w:rsid w:val="003D222C"/>
    <w:rsid w:val="003D242F"/>
    <w:rsid w:val="003F6C91"/>
    <w:rsid w:val="00404147"/>
    <w:rsid w:val="00406195"/>
    <w:rsid w:val="00411E09"/>
    <w:rsid w:val="00414A29"/>
    <w:rsid w:val="00415F7D"/>
    <w:rsid w:val="00421C03"/>
    <w:rsid w:val="0042421D"/>
    <w:rsid w:val="004321BB"/>
    <w:rsid w:val="00433049"/>
    <w:rsid w:val="00433F28"/>
    <w:rsid w:val="00434435"/>
    <w:rsid w:val="004436F1"/>
    <w:rsid w:val="004503D1"/>
    <w:rsid w:val="0045428F"/>
    <w:rsid w:val="00464BF4"/>
    <w:rsid w:val="00464C5A"/>
    <w:rsid w:val="0047002E"/>
    <w:rsid w:val="0047036E"/>
    <w:rsid w:val="00477D51"/>
    <w:rsid w:val="00484D9A"/>
    <w:rsid w:val="0048627A"/>
    <w:rsid w:val="00487E63"/>
    <w:rsid w:val="00492676"/>
    <w:rsid w:val="004A7498"/>
    <w:rsid w:val="004C167F"/>
    <w:rsid w:val="004C558B"/>
    <w:rsid w:val="004C661C"/>
    <w:rsid w:val="004D491B"/>
    <w:rsid w:val="004D4D59"/>
    <w:rsid w:val="004E086E"/>
    <w:rsid w:val="004E1D9B"/>
    <w:rsid w:val="004E2926"/>
    <w:rsid w:val="004E470A"/>
    <w:rsid w:val="004E7208"/>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97836"/>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35E00"/>
    <w:rsid w:val="00652E4A"/>
    <w:rsid w:val="00656093"/>
    <w:rsid w:val="00660770"/>
    <w:rsid w:val="0066425A"/>
    <w:rsid w:val="00666A27"/>
    <w:rsid w:val="006732E1"/>
    <w:rsid w:val="0068038C"/>
    <w:rsid w:val="006816D5"/>
    <w:rsid w:val="00682C3C"/>
    <w:rsid w:val="0068644F"/>
    <w:rsid w:val="0069765D"/>
    <w:rsid w:val="006A4CAF"/>
    <w:rsid w:val="006B474F"/>
    <w:rsid w:val="006B578D"/>
    <w:rsid w:val="006C39D6"/>
    <w:rsid w:val="006F6060"/>
    <w:rsid w:val="00723084"/>
    <w:rsid w:val="00723C83"/>
    <w:rsid w:val="00731C2C"/>
    <w:rsid w:val="0074454D"/>
    <w:rsid w:val="007454E1"/>
    <w:rsid w:val="00751D34"/>
    <w:rsid w:val="00754DEB"/>
    <w:rsid w:val="00760DA4"/>
    <w:rsid w:val="00763630"/>
    <w:rsid w:val="0077295E"/>
    <w:rsid w:val="0078706C"/>
    <w:rsid w:val="007B3901"/>
    <w:rsid w:val="007C4621"/>
    <w:rsid w:val="007C515D"/>
    <w:rsid w:val="007D25F4"/>
    <w:rsid w:val="007D3CBE"/>
    <w:rsid w:val="007D6F9E"/>
    <w:rsid w:val="007E13DD"/>
    <w:rsid w:val="007E3089"/>
    <w:rsid w:val="007E61CD"/>
    <w:rsid w:val="007E69A7"/>
    <w:rsid w:val="0080115A"/>
    <w:rsid w:val="008230C6"/>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0EE8"/>
    <w:rsid w:val="008D3ED4"/>
    <w:rsid w:val="008D47C0"/>
    <w:rsid w:val="008E0BB7"/>
    <w:rsid w:val="008E605F"/>
    <w:rsid w:val="008F1178"/>
    <w:rsid w:val="008F527B"/>
    <w:rsid w:val="008F720C"/>
    <w:rsid w:val="009027AC"/>
    <w:rsid w:val="00906736"/>
    <w:rsid w:val="00911362"/>
    <w:rsid w:val="009143BA"/>
    <w:rsid w:val="00917C1D"/>
    <w:rsid w:val="00925E48"/>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614B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7B8E"/>
    <w:rsid w:val="00BB653E"/>
    <w:rsid w:val="00BB6F73"/>
    <w:rsid w:val="00BC1662"/>
    <w:rsid w:val="00BE0E4F"/>
    <w:rsid w:val="00C01F47"/>
    <w:rsid w:val="00C113F6"/>
    <w:rsid w:val="00C1220A"/>
    <w:rsid w:val="00C14EA7"/>
    <w:rsid w:val="00C54224"/>
    <w:rsid w:val="00C54374"/>
    <w:rsid w:val="00C643F8"/>
    <w:rsid w:val="00C77064"/>
    <w:rsid w:val="00C818F9"/>
    <w:rsid w:val="00C8677A"/>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DF5ADE"/>
    <w:rsid w:val="00E00862"/>
    <w:rsid w:val="00E0572F"/>
    <w:rsid w:val="00E13B21"/>
    <w:rsid w:val="00E358B3"/>
    <w:rsid w:val="00E4165F"/>
    <w:rsid w:val="00E44D0F"/>
    <w:rsid w:val="00E55C4C"/>
    <w:rsid w:val="00E56F61"/>
    <w:rsid w:val="00E65AF2"/>
    <w:rsid w:val="00E70EC3"/>
    <w:rsid w:val="00E725BC"/>
    <w:rsid w:val="00E73864"/>
    <w:rsid w:val="00E80EDF"/>
    <w:rsid w:val="00E91186"/>
    <w:rsid w:val="00E92C7D"/>
    <w:rsid w:val="00E92CA0"/>
    <w:rsid w:val="00E94B02"/>
    <w:rsid w:val="00E95CE3"/>
    <w:rsid w:val="00E95CE5"/>
    <w:rsid w:val="00E97F11"/>
    <w:rsid w:val="00EB0BE0"/>
    <w:rsid w:val="00EB19DF"/>
    <w:rsid w:val="00EB19F6"/>
    <w:rsid w:val="00EB28DA"/>
    <w:rsid w:val="00EC68AB"/>
    <w:rsid w:val="00ED4F3D"/>
    <w:rsid w:val="00EE20F0"/>
    <w:rsid w:val="00EE2BDC"/>
    <w:rsid w:val="00EF18AB"/>
    <w:rsid w:val="00EF2A6F"/>
    <w:rsid w:val="00F003CA"/>
    <w:rsid w:val="00F10012"/>
    <w:rsid w:val="00F11CE9"/>
    <w:rsid w:val="00F14CCD"/>
    <w:rsid w:val="00F31CF4"/>
    <w:rsid w:val="00F32583"/>
    <w:rsid w:val="00F33D35"/>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FAA8-E46E-F546-952E-75B4914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Jessica Mallett</cp:lastModifiedBy>
  <cp:revision>2</cp:revision>
  <cp:lastPrinted>2020-11-20T09:02:00Z</cp:lastPrinted>
  <dcterms:created xsi:type="dcterms:W3CDTF">2021-01-18T13:37:00Z</dcterms:created>
  <dcterms:modified xsi:type="dcterms:W3CDTF">2021-01-18T13:37:00Z</dcterms:modified>
</cp:coreProperties>
</file>