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3FB7CCA6" w:rsidR="003A6EF6" w:rsidRPr="003A6EF6" w:rsidRDefault="000A1DED" w:rsidP="00367681">
      <w:pPr>
        <w:pStyle w:val="NoSpacing"/>
        <w:rPr>
          <w:rFonts w:ascii="Arial" w:hAnsi="Arial" w:cs="Arial"/>
          <w:b/>
          <w:sz w:val="20"/>
          <w:szCs w:val="20"/>
          <w:lang w:eastAsia="en-GB"/>
        </w:rPr>
      </w:pPr>
      <w:r>
        <w:rPr>
          <w:rFonts w:ascii="Arial" w:hAnsi="Arial" w:cs="Arial"/>
          <w:b/>
          <w:noProof/>
          <w:sz w:val="20"/>
          <w:szCs w:val="20"/>
          <w:lang w:eastAsia="en-GB"/>
        </w:rPr>
        <w:drawing>
          <wp:inline distT="0" distB="0" distL="0" distR="0" wp14:anchorId="2A7316D3" wp14:editId="45EBBCE6">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INCO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2787E20E" w:rsidR="00885CDA" w:rsidRPr="00444562" w:rsidRDefault="00F1259C" w:rsidP="00885CDA">
      <w:pPr>
        <w:pStyle w:val="NoSpacing"/>
        <w:rPr>
          <w:rFonts w:ascii="Arial" w:hAnsi="Arial" w:cs="Al Bayan Plain"/>
          <w:bCs/>
          <w:color w:val="6C4099"/>
          <w:sz w:val="32"/>
          <w:szCs w:val="32"/>
        </w:rPr>
      </w:pPr>
      <w:r w:rsidRPr="00444562">
        <w:rPr>
          <w:rFonts w:ascii="Arial" w:hAnsi="Arial" w:cs="Al Bayan Plain"/>
          <w:bCs/>
          <w:color w:val="6C4099"/>
          <w:sz w:val="32"/>
          <w:szCs w:val="32"/>
        </w:rPr>
        <w:t>Long Income</w:t>
      </w:r>
      <w:r w:rsidR="00885CDA" w:rsidRPr="00444562">
        <w:rPr>
          <w:rFonts w:ascii="Arial" w:hAnsi="Arial" w:cs="Al Bayan Plain"/>
          <w:bCs/>
          <w:color w:val="6C4099"/>
          <w:sz w:val="32"/>
          <w:szCs w:val="32"/>
        </w:rPr>
        <w:t xml:space="preserve"> Plan: </w:t>
      </w:r>
      <w:r w:rsidR="00752797">
        <w:rPr>
          <w:rFonts w:ascii="Arial" w:hAnsi="Arial" w:cs="Al Bayan Plain"/>
          <w:bCs/>
          <w:color w:val="6C4099"/>
          <w:sz w:val="32"/>
          <w:szCs w:val="32"/>
          <w:shd w:val="clear" w:color="auto" w:fill="FFFFFF" w:themeFill="background1"/>
        </w:rPr>
        <w:t>November</w:t>
      </w:r>
      <w:r w:rsidR="00752797" w:rsidRPr="00444562">
        <w:rPr>
          <w:rFonts w:ascii="Arial" w:hAnsi="Arial" w:cs="Al Bayan Plain"/>
          <w:bCs/>
          <w:color w:val="6C4099"/>
          <w:sz w:val="32"/>
          <w:szCs w:val="32"/>
          <w:shd w:val="clear" w:color="auto" w:fill="FFFFFF" w:themeFill="background1"/>
        </w:rPr>
        <w:t xml:space="preserve"> </w:t>
      </w:r>
      <w:r w:rsidR="00CA46D0" w:rsidRPr="00444562">
        <w:rPr>
          <w:rFonts w:ascii="Arial" w:hAnsi="Arial" w:cs="Al Bayan Plain"/>
          <w:bCs/>
          <w:color w:val="6C4099"/>
          <w:sz w:val="32"/>
          <w:szCs w:val="32"/>
          <w:shd w:val="clear" w:color="auto" w:fill="FFFFFF" w:themeFill="background1"/>
        </w:rPr>
        <w:t>2020</w:t>
      </w:r>
      <w:r w:rsidR="00885CDA" w:rsidRPr="00444562">
        <w:rPr>
          <w:rFonts w:ascii="Arial" w:hAnsi="Arial" w:cs="Al Bayan Plain"/>
          <w:bCs/>
          <w:color w:val="6C4099"/>
          <w:sz w:val="32"/>
          <w:szCs w:val="32"/>
          <w:shd w:val="clear" w:color="auto" w:fill="FFFFFF" w:themeFill="background1"/>
        </w:rPr>
        <w:t xml:space="preserve"> -</w:t>
      </w:r>
      <w:r w:rsidR="00885CDA" w:rsidRPr="00444562">
        <w:rPr>
          <w:rFonts w:ascii="Arial" w:hAnsi="Arial" w:cs="Al Bayan Plain"/>
          <w:bCs/>
          <w:color w:val="6C4099"/>
          <w:sz w:val="32"/>
          <w:szCs w:val="32"/>
        </w:rPr>
        <w:t xml:space="preserve"> Option </w:t>
      </w:r>
      <w:r w:rsidR="003D4AB3">
        <w:rPr>
          <w:rFonts w:ascii="Arial" w:hAnsi="Arial" w:cs="Al Bayan Plain"/>
          <w:bCs/>
          <w:color w:val="6C4099"/>
          <w:sz w:val="32"/>
          <w:szCs w:val="32"/>
        </w:rPr>
        <w:t>2</w:t>
      </w:r>
    </w:p>
    <w:p w14:paraId="66658B4C" w14:textId="77777777" w:rsidR="00885CDA" w:rsidRPr="00444562" w:rsidRDefault="00885CDA" w:rsidP="00367681">
      <w:pPr>
        <w:pStyle w:val="NoSpacing"/>
        <w:rPr>
          <w:rFonts w:ascii="Arial" w:hAnsi="Arial" w:cs="Al Bayan Plain"/>
          <w:bCs/>
          <w:color w:val="6C4099"/>
          <w:sz w:val="32"/>
          <w:szCs w:val="32"/>
          <w:lang w:eastAsia="en-GB"/>
        </w:rPr>
      </w:pPr>
    </w:p>
    <w:p w14:paraId="0EF9CD6D" w14:textId="6C0A68DB" w:rsidR="003A6EF6" w:rsidRPr="00444562" w:rsidRDefault="003A6EF6" w:rsidP="00367681">
      <w:pPr>
        <w:pStyle w:val="NoSpacing"/>
        <w:rPr>
          <w:rFonts w:ascii="Arial" w:hAnsi="Arial" w:cs="Al Bayan Plain"/>
          <w:bCs/>
          <w:color w:val="6C4099"/>
          <w:sz w:val="32"/>
          <w:szCs w:val="32"/>
          <w:lang w:eastAsia="en-GB"/>
        </w:rPr>
      </w:pPr>
      <w:r w:rsidRPr="00444562">
        <w:rPr>
          <w:rFonts w:ascii="Arial" w:hAnsi="Arial" w:cs="Al Bayan Plain"/>
          <w:bCs/>
          <w:color w:val="6C4099"/>
          <w:sz w:val="32"/>
          <w:szCs w:val="32"/>
          <w:lang w:eastAsia="en-GB"/>
        </w:rPr>
        <w:t>SUITABILITY LETTER WORDING INPUT</w:t>
      </w:r>
    </w:p>
    <w:p w14:paraId="722CEC20" w14:textId="174EE2A6" w:rsidR="00A133D9" w:rsidRPr="00444562" w:rsidRDefault="00A133D9" w:rsidP="00367681">
      <w:pPr>
        <w:pStyle w:val="NoSpacing"/>
        <w:rPr>
          <w:rFonts w:ascii="Arial" w:hAnsi="Arial" w:cs="Arial"/>
          <w:color w:val="6C4099"/>
          <w:sz w:val="20"/>
          <w:szCs w:val="20"/>
          <w:lang w:eastAsia="en-GB"/>
        </w:rPr>
      </w:pPr>
    </w:p>
    <w:p w14:paraId="4859C9BA" w14:textId="165AF020" w:rsidR="00A133D9" w:rsidRPr="00444562" w:rsidRDefault="00A133D9" w:rsidP="00367681">
      <w:pPr>
        <w:pStyle w:val="NoSpacing"/>
        <w:rPr>
          <w:rFonts w:ascii="Arial" w:hAnsi="Arial" w:cs="Arial"/>
          <w:color w:val="6C4099"/>
          <w:sz w:val="20"/>
          <w:szCs w:val="20"/>
          <w:lang w:eastAsia="en-GB"/>
        </w:rPr>
      </w:pPr>
      <w:r w:rsidRPr="00444562">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7FBAA08A">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317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" strokecolor="#7030a0" strokeweight="3.5pt"/>
            </w:pict>
          </mc:Fallback>
        </mc:AlternateContent>
      </w:r>
    </w:p>
    <w:p w14:paraId="73D734C5" w14:textId="77777777" w:rsidR="00A133D9" w:rsidRPr="00444562" w:rsidRDefault="00A133D9" w:rsidP="00367681">
      <w:pPr>
        <w:pStyle w:val="NoSpacing"/>
        <w:rPr>
          <w:rFonts w:ascii="Arial" w:hAnsi="Arial" w:cs="Arial"/>
          <w:color w:val="6C4099"/>
          <w:sz w:val="20"/>
          <w:szCs w:val="20"/>
          <w:lang w:eastAsia="en-GB"/>
        </w:rPr>
      </w:pPr>
    </w:p>
    <w:p w14:paraId="29D9F311" w14:textId="4DAA16EE" w:rsidR="002C5FD7" w:rsidRPr="00444562" w:rsidRDefault="002C5FD7" w:rsidP="00367681">
      <w:pPr>
        <w:pStyle w:val="NoSpacing"/>
        <w:rPr>
          <w:rFonts w:ascii="Arial" w:hAnsi="Arial" w:cs="Arial"/>
          <w:b/>
          <w:color w:val="6C4099"/>
          <w:sz w:val="20"/>
          <w:szCs w:val="20"/>
          <w:lang w:eastAsia="en-GB"/>
        </w:rPr>
      </w:pPr>
      <w:r w:rsidRPr="00444562">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FF4320"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FDEW</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‘If / then …’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3870216F"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1</w:t>
      </w:r>
    </w:p>
    <w:p w14:paraId="5520818F" w14:textId="40BF7E7C"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5B171FEB" w14:textId="0D6428C0" w:rsidR="000423CB" w:rsidRPr="00C765AB" w:rsidRDefault="00D90342">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22F7FE3E"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w:t>
      </w:r>
      <w:r w:rsidR="00F1259C">
        <w:rPr>
          <w:rFonts w:ascii="Arial" w:hAnsi="Arial" w:cs="Arial"/>
          <w:b/>
          <w:color w:val="000000"/>
          <w:sz w:val="20"/>
          <w:szCs w:val="20"/>
        </w:rPr>
        <w:t>Long Income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752797">
        <w:rPr>
          <w:rFonts w:ascii="Arial" w:hAnsi="Arial" w:cs="Arial"/>
          <w:b/>
          <w:color w:val="000000"/>
          <w:sz w:val="20"/>
          <w:szCs w:val="20"/>
        </w:rPr>
        <w:t>November</w:t>
      </w:r>
      <w:r w:rsidR="00752797">
        <w:rPr>
          <w:rFonts w:ascii="Arial" w:hAnsi="Arial" w:cs="Arial"/>
          <w:b/>
          <w:color w:val="000000"/>
          <w:sz w:val="20"/>
          <w:szCs w:val="20"/>
        </w:rPr>
        <w:t xml:space="preserve"> </w:t>
      </w:r>
      <w:r w:rsidR="00CA46D0">
        <w:rPr>
          <w:rFonts w:ascii="Arial" w:hAnsi="Arial" w:cs="Arial"/>
          <w:b/>
          <w:color w:val="000000"/>
          <w:sz w:val="20"/>
          <w:szCs w:val="20"/>
        </w:rPr>
        <w:t>2020</w:t>
      </w:r>
    </w:p>
    <w:p w14:paraId="5252AF0E" w14:textId="1E91080F"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3D4AB3">
        <w:rPr>
          <w:rFonts w:ascii="Arial" w:hAnsi="Arial" w:cs="Arial"/>
          <w:b/>
          <w:color w:val="000000"/>
          <w:sz w:val="20"/>
          <w:szCs w:val="20"/>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0" w:name="_Toc18054660"/>
      <w:r w:rsidRPr="00C765AB">
        <w:rPr>
          <w:rFonts w:ascii="Arial" w:hAnsi="Arial" w:cs="Arial"/>
          <w:b/>
          <w:bCs/>
          <w:color w:val="000000" w:themeColor="text1"/>
          <w:sz w:val="24"/>
          <w:szCs w:val="24"/>
        </w:rPr>
        <w:t>Introduction</w:t>
      </w:r>
      <w:bookmarkEnd w:id="0"/>
    </w:p>
    <w:p w14:paraId="1E3DE5F5" w14:textId="3CEEDD2C"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773DF0E5"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1" w:name="_Toc18054661"/>
      <w:r w:rsidRPr="00C765AB">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0893CFF" w14:textId="77777777" w:rsidR="003B76C6" w:rsidRDefault="00D71ED6" w:rsidP="003B76C6">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01EF7CAB" w14:textId="77777777" w:rsidR="003B76C6" w:rsidRPr="003A6EF6" w:rsidRDefault="003B76C6" w:rsidP="003B76C6">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5B8E5136" w14:textId="77777777" w:rsidR="003B76C6" w:rsidRPr="003A6EF6" w:rsidRDefault="003B76C6" w:rsidP="003B76C6">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444562">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2"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2"/>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27C40B3" w14:textId="77777777" w:rsidR="003B76C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7ED20B56"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3B76C6">
        <w:rPr>
          <w:rFonts w:ascii="Arial" w:hAnsi="Arial" w:cs="Arial"/>
          <w:sz w:val="20"/>
          <w:szCs w:val="20"/>
        </w:rPr>
        <w:t>, with the current Covid-19 crisis.</w:t>
      </w:r>
    </w:p>
    <w:p w14:paraId="29CCAB65" w14:textId="31395A68"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4F58AED9" w14:textId="77777777" w:rsidR="003B76C6" w:rsidRPr="00A133D9" w:rsidRDefault="003B76C6" w:rsidP="003B76C6">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3563F071" w:rsidR="00B71CBF" w:rsidRPr="00C765AB" w:rsidRDefault="005B3645" w:rsidP="00C765A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3" w:name="_Toc18054663"/>
      <w:r w:rsidRPr="00C765AB">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4" w:name="_Toc18054664"/>
      <w:r w:rsidRPr="00C765AB">
        <w:rPr>
          <w:rFonts w:ascii="Arial" w:hAnsi="Arial" w:cs="Arial"/>
          <w:b/>
          <w:bCs/>
          <w:color w:val="000000" w:themeColor="text1"/>
          <w:sz w:val="24"/>
          <w:szCs w:val="24"/>
        </w:rPr>
        <w:t>The details, features and risks of the plan</w:t>
      </w:r>
      <w:bookmarkEnd w:id="4"/>
    </w:p>
    <w:p w14:paraId="59CC6C9A" w14:textId="4FC948A8"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 xml:space="preserve">The plan offers </w:t>
      </w:r>
      <w:r w:rsidR="00F1259C">
        <w:rPr>
          <w:rFonts w:ascii="Arial" w:hAnsi="Arial" w:cs="Arial"/>
          <w:sz w:val="20"/>
          <w:szCs w:val="20"/>
        </w:rPr>
        <w:t>two</w:t>
      </w:r>
      <w:r w:rsidRPr="003A6EF6">
        <w:rPr>
          <w:rFonts w:ascii="Arial" w:hAnsi="Arial" w:cs="Arial"/>
          <w:sz w:val="20"/>
          <w:szCs w:val="20"/>
        </w:rPr>
        <w:t xml:space="preserve"> options, </w:t>
      </w:r>
      <w:r w:rsidR="007A2A13">
        <w:rPr>
          <w:rFonts w:ascii="Arial" w:hAnsi="Arial" w:cs="Arial"/>
          <w:sz w:val="20"/>
          <w:szCs w:val="20"/>
        </w:rPr>
        <w:t>both</w:t>
      </w:r>
      <w:r w:rsidR="007A2A13" w:rsidRPr="003A6EF6">
        <w:rPr>
          <w:rFonts w:ascii="Arial" w:hAnsi="Arial" w:cs="Arial"/>
          <w:sz w:val="20"/>
          <w:szCs w:val="20"/>
        </w:rPr>
        <w:t xml:space="preserve"> </w:t>
      </w:r>
      <w:r w:rsidRPr="003A6EF6">
        <w:rPr>
          <w:rFonts w:ascii="Arial" w:hAnsi="Arial" w:cs="Arial"/>
          <w:sz w:val="20"/>
          <w:szCs w:val="20"/>
        </w:rPr>
        <w:t xml:space="preserve">of which provide the potential for </w:t>
      </w:r>
      <w:r w:rsidR="007A2A13">
        <w:rPr>
          <w:rFonts w:ascii="Arial" w:hAnsi="Arial" w:cs="Arial"/>
          <w:sz w:val="20"/>
          <w:szCs w:val="20"/>
        </w:rPr>
        <w:t>income</w:t>
      </w:r>
      <w:r w:rsidRPr="003A6EF6">
        <w:rPr>
          <w:rFonts w:ascii="Arial" w:hAnsi="Arial" w:cs="Arial"/>
          <w:sz w:val="20"/>
          <w:szCs w:val="20"/>
        </w:rPr>
        <w:t xml:space="preserve"> without needing the UK stock market, represented by the FTSE 100 FDEW, to rise.</w:t>
      </w:r>
    </w:p>
    <w:p w14:paraId="01E97E50" w14:textId="1EE14B1F" w:rsidR="00E0572F"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3D4AB3">
        <w:rPr>
          <w:rFonts w:ascii="Arial" w:hAnsi="Arial" w:cs="Arial"/>
          <w:sz w:val="20"/>
          <w:szCs w:val="20"/>
        </w:rPr>
        <w:t>2</w:t>
      </w:r>
      <w:r w:rsidR="00182218" w:rsidRPr="003A6EF6">
        <w:rPr>
          <w:rFonts w:ascii="Arial" w:hAnsi="Arial" w:cs="Arial"/>
          <w:sz w:val="20"/>
          <w:szCs w:val="20"/>
        </w:rPr>
        <w:t xml:space="preserve"> </w:t>
      </w:r>
      <w:r w:rsidR="004A20E4" w:rsidRPr="004A20E4">
        <w:rPr>
          <w:rFonts w:ascii="Arial" w:hAnsi="Arial" w:cs="Arial"/>
          <w:sz w:val="20"/>
          <w:szCs w:val="20"/>
        </w:rPr>
        <w:t xml:space="preserve">will generate a fixed </w:t>
      </w:r>
      <w:r w:rsidR="007A2A13">
        <w:rPr>
          <w:rFonts w:ascii="Arial" w:hAnsi="Arial" w:cs="Arial"/>
          <w:sz w:val="20"/>
          <w:szCs w:val="20"/>
        </w:rPr>
        <w:t>income payment</w:t>
      </w:r>
      <w:r w:rsidR="007A2A13" w:rsidRPr="004A20E4">
        <w:rPr>
          <w:rFonts w:ascii="Arial" w:hAnsi="Arial" w:cs="Arial"/>
          <w:sz w:val="20"/>
          <w:szCs w:val="20"/>
        </w:rPr>
        <w:t xml:space="preserve"> </w:t>
      </w:r>
      <w:r w:rsidR="004A20E4" w:rsidRPr="004A20E4">
        <w:rPr>
          <w:rFonts w:ascii="Arial" w:hAnsi="Arial" w:cs="Arial"/>
          <w:sz w:val="20"/>
          <w:szCs w:val="20"/>
        </w:rPr>
        <w:t xml:space="preserve">of </w:t>
      </w:r>
      <w:r w:rsidR="00525089" w:rsidRPr="009C251E">
        <w:rPr>
          <w:rFonts w:ascii="Arial" w:hAnsi="Arial" w:cs="Arial"/>
          <w:sz w:val="20"/>
          <w:szCs w:val="20"/>
        </w:rPr>
        <w:t>1.</w:t>
      </w:r>
      <w:r w:rsidR="00752797">
        <w:rPr>
          <w:rFonts w:ascii="Arial" w:hAnsi="Arial" w:cs="Arial"/>
          <w:sz w:val="20"/>
          <w:szCs w:val="20"/>
        </w:rPr>
        <w:t>5</w:t>
      </w:r>
      <w:r w:rsidR="00525089" w:rsidRPr="009C251E">
        <w:rPr>
          <w:rFonts w:ascii="Arial" w:hAnsi="Arial" w:cs="Arial"/>
          <w:sz w:val="20"/>
          <w:szCs w:val="20"/>
        </w:rPr>
        <w:t>%</w:t>
      </w:r>
      <w:r w:rsidR="004A20E4" w:rsidRPr="004A20E4">
        <w:rPr>
          <w:rFonts w:ascii="Arial" w:hAnsi="Arial" w:cs="Arial"/>
          <w:sz w:val="20"/>
          <w:szCs w:val="20"/>
        </w:rPr>
        <w:t xml:space="preserve"> per </w:t>
      </w:r>
      <w:r w:rsidR="00F1259C">
        <w:rPr>
          <w:rFonts w:ascii="Arial" w:hAnsi="Arial" w:cs="Arial"/>
          <w:sz w:val="20"/>
          <w:szCs w:val="20"/>
        </w:rPr>
        <w:t>quarter</w:t>
      </w:r>
      <w:r w:rsidR="004A20E4" w:rsidRPr="004A20E4">
        <w:rPr>
          <w:rFonts w:ascii="Arial" w:hAnsi="Arial" w:cs="Arial"/>
          <w:sz w:val="20"/>
          <w:szCs w:val="20"/>
        </w:rPr>
        <w:t xml:space="preserve">, that is paid if the FTSE 100 FDEW closes at or above </w:t>
      </w:r>
      <w:r w:rsidR="003D4AB3">
        <w:rPr>
          <w:rFonts w:ascii="Arial" w:hAnsi="Arial" w:cs="Arial"/>
          <w:sz w:val="20"/>
          <w:szCs w:val="20"/>
        </w:rPr>
        <w:t>75</w:t>
      </w:r>
      <w:r w:rsidR="004A20E4" w:rsidRPr="004A20E4">
        <w:rPr>
          <w:rFonts w:ascii="Arial" w:hAnsi="Arial" w:cs="Arial"/>
          <w:sz w:val="20"/>
          <w:szCs w:val="20"/>
        </w:rPr>
        <w:t xml:space="preserve">% of the start level on one of the </w:t>
      </w:r>
      <w:r w:rsidR="007A2A13">
        <w:rPr>
          <w:rFonts w:ascii="Arial" w:hAnsi="Arial" w:cs="Arial"/>
          <w:sz w:val="20"/>
          <w:szCs w:val="20"/>
        </w:rPr>
        <w:t>quarterly income</w:t>
      </w:r>
      <w:r w:rsidR="004A20E4" w:rsidRPr="004A20E4">
        <w:rPr>
          <w:rFonts w:ascii="Arial" w:hAnsi="Arial" w:cs="Arial"/>
          <w:sz w:val="20"/>
          <w:szCs w:val="20"/>
        </w:rPr>
        <w:t xml:space="preserve"> dates or on the end date.</w:t>
      </w:r>
    </w:p>
    <w:p w14:paraId="670DB7A4" w14:textId="4C117A27" w:rsidR="007A2A13" w:rsidRPr="003A6EF6" w:rsidRDefault="007A2A13" w:rsidP="00A133D9">
      <w:pPr>
        <w:pStyle w:val="NoSpacing"/>
        <w:spacing w:before="120" w:after="120"/>
        <w:rPr>
          <w:rFonts w:ascii="Arial" w:hAnsi="Arial" w:cs="Arial"/>
          <w:sz w:val="20"/>
          <w:szCs w:val="20"/>
        </w:rPr>
      </w:pPr>
      <w:r>
        <w:rPr>
          <w:rFonts w:ascii="Arial" w:hAnsi="Arial" w:cs="Arial"/>
          <w:sz w:val="20"/>
          <w:szCs w:val="20"/>
        </w:rPr>
        <w:t xml:space="preserve">The plan includes a memory feature, meaning that if a quarterly income payment is missed, because the FTSE 100 FDEW closes below </w:t>
      </w:r>
      <w:r w:rsidR="003D4AB3">
        <w:rPr>
          <w:rFonts w:ascii="Arial" w:hAnsi="Arial" w:cs="Arial"/>
          <w:sz w:val="20"/>
          <w:szCs w:val="20"/>
        </w:rPr>
        <w:t>75</w:t>
      </w:r>
      <w:r>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1469CC73"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w:t>
      </w:r>
      <w:r w:rsidR="007A2A13">
        <w:rPr>
          <w:rFonts w:ascii="Arial" w:hAnsi="Arial" w:cs="Arial"/>
          <w:color w:val="000000"/>
          <w:sz w:val="20"/>
          <w:szCs w:val="20"/>
        </w:rPr>
        <w:t>an early maturity</w:t>
      </w:r>
      <w:r w:rsidRPr="003A6EF6" w:rsidDel="00353D40">
        <w:rPr>
          <w:rFonts w:ascii="Arial" w:hAnsi="Arial" w:cs="Arial"/>
          <w:color w:val="000000"/>
          <w:sz w:val="20"/>
          <w:szCs w:val="20"/>
        </w:rPr>
        <w:t xml:space="preserve"> feature which means that </w:t>
      </w:r>
      <w:r w:rsidR="007A2A13">
        <w:rPr>
          <w:rFonts w:ascii="Arial" w:hAnsi="Arial" w:cs="Arial"/>
          <w:color w:val="000000"/>
          <w:sz w:val="20"/>
          <w:szCs w:val="20"/>
        </w:rPr>
        <w:t>if the FTSE 100 FDEW closes at or above 110% of the start level on any quarterly income date from the end of the 3</w:t>
      </w:r>
      <w:r w:rsidR="007A2A13" w:rsidRPr="00444562">
        <w:rPr>
          <w:rFonts w:ascii="Arial" w:hAnsi="Arial" w:cs="Arial"/>
          <w:color w:val="000000"/>
          <w:sz w:val="20"/>
          <w:szCs w:val="20"/>
          <w:vertAlign w:val="superscript"/>
        </w:rPr>
        <w:t>rd</w:t>
      </w:r>
      <w:r w:rsidR="007A2A13">
        <w:rPr>
          <w:rFonts w:ascii="Arial" w:hAnsi="Arial" w:cs="Arial"/>
          <w:color w:val="000000"/>
          <w:sz w:val="20"/>
          <w:szCs w:val="20"/>
        </w:rPr>
        <w:t xml:space="preserve"> year, the plan will automatically mature at this point. You will receive the income payment for that quarter, together with any missed income payments and the money invested.</w:t>
      </w:r>
    </w:p>
    <w:p w14:paraId="4EF8FE97" w14:textId="701AE5EC" w:rsidR="00182218" w:rsidRPr="003A6EF6" w:rsidRDefault="007A2A13" w:rsidP="00A133D9">
      <w:pPr>
        <w:pStyle w:val="NoSpacing"/>
        <w:spacing w:before="120" w:after="120"/>
        <w:rPr>
          <w:rFonts w:ascii="Arial" w:hAnsi="Arial" w:cs="Arial"/>
          <w:sz w:val="20"/>
          <w:szCs w:val="20"/>
        </w:rPr>
      </w:pPr>
      <w:r>
        <w:rPr>
          <w:rFonts w:ascii="Arial" w:hAnsi="Arial" w:cs="Arial"/>
          <w:sz w:val="20"/>
          <w:szCs w:val="20"/>
        </w:rPr>
        <w:t>Both</w:t>
      </w:r>
      <w:r w:rsidR="00182218" w:rsidRPr="003A6EF6">
        <w:rPr>
          <w:rFonts w:ascii="Arial" w:hAnsi="Arial" w:cs="Arial"/>
          <w:sz w:val="20"/>
          <w:szCs w:val="20"/>
        </w:rPr>
        <w:t xml:space="preserve"> plan options have the same defined level of protection from stock market risk if the plan does not </w:t>
      </w:r>
      <w:r w:rsidR="00EC1187">
        <w:rPr>
          <w:rFonts w:ascii="Arial" w:hAnsi="Arial" w:cs="Arial"/>
          <w:sz w:val="20"/>
          <w:szCs w:val="20"/>
        </w:rPr>
        <w:t>mature early</w:t>
      </w:r>
      <w:r w:rsidR="00182218" w:rsidRPr="003A6EF6">
        <w:rPr>
          <w:rFonts w:ascii="Arial" w:hAnsi="Arial" w:cs="Arial"/>
          <w:sz w:val="20"/>
          <w:szCs w:val="20"/>
        </w:rPr>
        <w:t xml:space="preserve">. This means the FTSE 100 FDEW can fall by up to </w:t>
      </w:r>
      <w:r w:rsidR="00525089">
        <w:rPr>
          <w:rFonts w:ascii="Arial" w:hAnsi="Arial" w:cs="Arial"/>
          <w:sz w:val="20"/>
          <w:szCs w:val="20"/>
        </w:rPr>
        <w:t>50</w:t>
      </w:r>
      <w:r w:rsidR="00182218" w:rsidRPr="003A6EF6">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5"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7818EAF3"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The potential </w:t>
      </w:r>
      <w:r w:rsidR="007A2A13">
        <w:rPr>
          <w:rFonts w:ascii="Arial" w:hAnsi="Arial" w:cs="Arial"/>
          <w:b/>
          <w:color w:val="000000"/>
          <w:sz w:val="20"/>
          <w:szCs w:val="20"/>
        </w:rPr>
        <w:t>income payments</w:t>
      </w:r>
      <w:r w:rsidRPr="003A6EF6">
        <w:rPr>
          <w:rFonts w:ascii="Arial" w:hAnsi="Arial" w:cs="Arial"/>
          <w:b/>
          <w:color w:val="000000"/>
          <w:sz w:val="20"/>
          <w:szCs w:val="20"/>
        </w:rPr>
        <w:t>,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0D1D2239"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3D4AB3">
        <w:rPr>
          <w:rFonts w:ascii="Arial" w:hAnsi="Arial" w:cs="Arial"/>
          <w:color w:val="000000"/>
          <w:sz w:val="20"/>
          <w:szCs w:val="20"/>
        </w:rPr>
        <w:t>2</w:t>
      </w:r>
      <w:r w:rsidR="007A2A13" w:rsidRPr="003A6EF6">
        <w:rPr>
          <w:rFonts w:ascii="Arial" w:hAnsi="Arial" w:cs="Arial"/>
          <w:color w:val="000000"/>
          <w:sz w:val="20"/>
          <w:szCs w:val="20"/>
        </w:rPr>
        <w:t xml:space="preserve"> </w:t>
      </w:r>
      <w:r w:rsidRPr="003A6EF6">
        <w:rPr>
          <w:rFonts w:ascii="Arial" w:hAnsi="Arial" w:cs="Arial"/>
          <w:color w:val="000000"/>
          <w:sz w:val="20"/>
          <w:szCs w:val="20"/>
        </w:rPr>
        <w:t xml:space="preserve">on all of the </w:t>
      </w:r>
      <w:r w:rsidR="007A2A13">
        <w:rPr>
          <w:rFonts w:ascii="Arial" w:hAnsi="Arial" w:cs="Arial"/>
          <w:color w:val="000000"/>
          <w:sz w:val="20"/>
          <w:szCs w:val="20"/>
        </w:rPr>
        <w:t>quarterly income</w:t>
      </w:r>
      <w:r w:rsidRPr="003A6EF6">
        <w:rPr>
          <w:rFonts w:ascii="Arial" w:hAnsi="Arial" w:cs="Arial"/>
          <w:color w:val="000000"/>
          <w:sz w:val="20"/>
          <w:szCs w:val="20"/>
        </w:rPr>
        <w:t xml:space="preserve"> anniversary dates and at the end date, the plan will not generate </w:t>
      </w:r>
      <w:r w:rsidR="007A2A13">
        <w:rPr>
          <w:rFonts w:ascii="Arial" w:hAnsi="Arial" w:cs="Arial"/>
          <w:color w:val="000000"/>
          <w:sz w:val="20"/>
          <w:szCs w:val="20"/>
        </w:rPr>
        <w:t>any income payments</w:t>
      </w:r>
      <w:r w:rsidRPr="003A6EF6">
        <w:rPr>
          <w:rFonts w:ascii="Arial" w:hAnsi="Arial" w:cs="Arial"/>
          <w:color w:val="000000"/>
          <w:sz w:val="20"/>
          <w:szCs w:val="20"/>
        </w:rPr>
        <w:t xml:space="preserve">. </w:t>
      </w:r>
    </w:p>
    <w:p w14:paraId="1ABD18C2" w14:textId="52F38186"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may get back less than you invest if the plan does not </w:t>
      </w:r>
      <w:r w:rsidR="007A2A13">
        <w:rPr>
          <w:rFonts w:ascii="Arial" w:hAnsi="Arial" w:cs="Arial"/>
          <w:sz w:val="20"/>
          <w:szCs w:val="20"/>
        </w:rPr>
        <w:t>mature early</w:t>
      </w:r>
      <w:r w:rsidRPr="003A6EF6">
        <w:rPr>
          <w:rFonts w:ascii="Arial" w:hAnsi="Arial" w:cs="Arial"/>
          <w:sz w:val="20"/>
          <w:szCs w:val="20"/>
        </w:rPr>
        <w:t xml:space="preserve">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525089">
        <w:rPr>
          <w:rFonts w:ascii="Arial" w:hAnsi="Arial" w:cs="Arial"/>
          <w:sz w:val="20"/>
          <w:szCs w:val="20"/>
        </w:rPr>
        <w:t>50</w:t>
      </w:r>
      <w:r w:rsidRPr="003A6EF6">
        <w:rPr>
          <w:rFonts w:ascii="Arial" w:hAnsi="Arial" w:cs="Arial"/>
          <w:sz w:val="20"/>
          <w:szCs w:val="20"/>
        </w:rPr>
        <w:t>% below the start level on the end date.</w:t>
      </w:r>
    </w:p>
    <w:p w14:paraId="2D7E2ECE" w14:textId="62BCD602"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525089">
        <w:rPr>
          <w:rFonts w:ascii="Arial" w:hAnsi="Arial" w:cs="Arial"/>
          <w:bCs/>
          <w:sz w:val="20"/>
          <w:szCs w:val="20"/>
        </w:rPr>
        <w:t>50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7A2A13">
        <w:rPr>
          <w:rFonts w:ascii="Arial" w:hAnsi="Arial" w:cs="Arial"/>
          <w:sz w:val="20"/>
          <w:szCs w:val="20"/>
        </w:rPr>
        <w:t>20</w:t>
      </w:r>
      <w:r w:rsidRPr="003A6EF6">
        <w:rPr>
          <w:rFonts w:ascii="Arial" w:hAnsi="Arial" w:cs="Arial"/>
          <w:sz w:val="20"/>
          <w:szCs w:val="20"/>
        </w:rPr>
        <w:t xml:space="preserve">% of the start level, you will get back </w:t>
      </w:r>
      <w:r w:rsidR="007A2A13">
        <w:rPr>
          <w:rFonts w:ascii="Arial" w:hAnsi="Arial" w:cs="Arial"/>
          <w:sz w:val="20"/>
          <w:szCs w:val="20"/>
        </w:rPr>
        <w:t>20</w:t>
      </w:r>
      <w:r w:rsidRPr="003A6EF6">
        <w:rPr>
          <w:rFonts w:ascii="Arial" w:hAnsi="Arial" w:cs="Arial"/>
          <w:sz w:val="20"/>
          <w:szCs w:val="20"/>
        </w:rPr>
        <w:t>% of your investment.</w:t>
      </w:r>
    </w:p>
    <w:p w14:paraId="28BCDBE5" w14:textId="3E9095F6"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4BD5C3C0"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C765AB" w:rsidRDefault="00DF1E88" w:rsidP="00C765AB">
      <w:pPr>
        <w:pStyle w:val="Heading1"/>
        <w:spacing w:before="360"/>
        <w:rPr>
          <w:rFonts w:ascii="Arial" w:hAnsi="Arial" w:cs="Arial"/>
          <w:b/>
          <w:bCs/>
          <w:color w:val="000000" w:themeColor="text1"/>
          <w:sz w:val="24"/>
          <w:szCs w:val="24"/>
        </w:rPr>
      </w:pPr>
      <w:bookmarkStart w:id="6" w:name="_Toc18054666"/>
      <w:r w:rsidRPr="00C765AB">
        <w:rPr>
          <w:rFonts w:ascii="Arial" w:hAnsi="Arial" w:cs="Arial"/>
          <w:b/>
          <w:bCs/>
          <w:color w:val="000000" w:themeColor="text1"/>
          <w:sz w:val="24"/>
          <w:szCs w:val="24"/>
        </w:rPr>
        <w:lastRenderedPageBreak/>
        <w:t>The FTSE 100 FDEW</w:t>
      </w:r>
      <w:bookmarkEnd w:id="6"/>
    </w:p>
    <w:p w14:paraId="692DD307" w14:textId="1B81793C"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The potential </w:t>
      </w:r>
      <w:r w:rsidR="007A2A13">
        <w:rPr>
          <w:rFonts w:ascii="Arial" w:hAnsi="Arial" w:cs="Arial"/>
          <w:color w:val="000000"/>
          <w:sz w:val="20"/>
          <w:szCs w:val="20"/>
        </w:rPr>
        <w:t>income payments</w:t>
      </w:r>
      <w:r w:rsidRPr="003A6EF6">
        <w:rPr>
          <w:rFonts w:ascii="Arial" w:hAnsi="Arial" w:cs="Arial"/>
          <w:color w:val="000000"/>
          <w:sz w:val="20"/>
          <w:szCs w:val="20"/>
        </w:rPr>
        <w:t>,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FTSE 100 FDEW</w:t>
      </w:r>
      <w:r w:rsidR="008A2C34" w:rsidRPr="003A6EF6">
        <w:rPr>
          <w:rFonts w:ascii="Arial" w:hAnsi="Arial" w:cs="Arial"/>
          <w:color w:val="000000"/>
          <w:sz w:val="20"/>
          <w:szCs w:val="20"/>
        </w:rPr>
        <w:t>.</w:t>
      </w:r>
    </w:p>
    <w:p w14:paraId="5C0F9515" w14:textId="5114BC1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w:t>
      </w:r>
      <w:r w:rsidR="0040021B">
        <w:rPr>
          <w:rFonts w:ascii="Arial" w:hAnsi="Arial" w:cs="Arial"/>
          <w:sz w:val="20"/>
          <w:szCs w:val="20"/>
        </w:rPr>
        <w:t xml:space="preserve"> which</w:t>
      </w:r>
      <w:r w:rsidRPr="003A6EF6">
        <w:rPr>
          <w:rFonts w:ascii="Arial" w:hAnsi="Arial" w:cs="Arial"/>
          <w:sz w:val="20"/>
          <w:szCs w:val="20"/>
        </w:rPr>
        <w:t xml:space="preserve"> make up the FTSE 100. However, as its name suggests, the FTSE 100 FDEW is different to the FTSE 100 in two important ways: </w:t>
      </w:r>
    </w:p>
    <w:p w14:paraId="46FF2AFE" w14:textId="2381876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3B345AED"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71D83EF6"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w:t>
      </w:r>
      <w:r w:rsidR="00571CCA">
        <w:rPr>
          <w:rFonts w:ascii="Arial" w:hAnsi="Arial" w:cs="Arial"/>
          <w:sz w:val="20"/>
          <w:szCs w:val="20"/>
        </w:rPr>
        <w:t>at times</w:t>
      </w:r>
      <w:r w:rsidRPr="003A6EF6">
        <w:rPr>
          <w:rFonts w:ascii="Arial" w:hAnsi="Arial" w:cs="Arial"/>
          <w:sz w:val="20"/>
          <w:szCs w:val="20"/>
        </w:rPr>
        <w:t xml:space="preserve"> when the UK stock market moves sideways or falls</w:t>
      </w:r>
      <w:r w:rsidR="003B76C6">
        <w:rPr>
          <w:rFonts w:ascii="Arial" w:hAnsi="Arial" w:cs="Arial"/>
          <w:sz w:val="20"/>
          <w:szCs w:val="20"/>
        </w:rPr>
        <w:t>, and when companies in the FTSE 100 FDEW reduce the level of the dividends which they pay</w:t>
      </w:r>
      <w:r w:rsidR="003B76C6"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3BE5E345" w14:textId="7E0E71FD" w:rsidR="003B76C6" w:rsidRDefault="00525089" w:rsidP="003B76C6">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3B76C6"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3B76C6"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3B76C6" w:rsidRPr="000C78A4">
        <w:rPr>
          <w:rFonts w:ascii="Arial" w:hAnsi="Arial" w:cs="Arial"/>
          <w:b/>
          <w:bCs/>
          <w:sz w:val="20"/>
          <w:szCs w:val="20"/>
        </w:rPr>
        <w:t>.</w:t>
      </w:r>
      <w:r w:rsidR="003B76C6">
        <w:rPr>
          <w:rFonts w:ascii="Arial" w:hAnsi="Arial" w:cs="Arial"/>
          <w:sz w:val="20"/>
          <w:szCs w:val="20"/>
        </w:rPr>
        <w:t xml:space="preserve"> </w:t>
      </w:r>
      <w:r w:rsidR="003B76C6" w:rsidRPr="003A6EF6">
        <w:rPr>
          <w:rFonts w:ascii="Arial" w:hAnsi="Arial" w:cs="Arial"/>
          <w:b/>
          <w:sz w:val="20"/>
          <w:szCs w:val="20"/>
        </w:rPr>
        <w:t xml:space="preserve">You can find </w:t>
      </w:r>
      <w:r w:rsidR="003B76C6" w:rsidRPr="000C78A4">
        <w:rPr>
          <w:rFonts w:ascii="Arial" w:hAnsi="Arial" w:cs="Arial"/>
          <w:b/>
          <w:sz w:val="20"/>
          <w:szCs w:val="20"/>
        </w:rPr>
        <w:t xml:space="preserve">information about this </w:t>
      </w:r>
      <w:r w:rsidR="003B76C6" w:rsidRPr="000C78A4">
        <w:rPr>
          <w:rFonts w:ascii="Arial" w:hAnsi="Arial" w:cs="Arial"/>
          <w:b/>
          <w:bCs/>
          <w:sz w:val="20"/>
          <w:szCs w:val="20"/>
        </w:rPr>
        <w:t>and</w:t>
      </w:r>
      <w:r w:rsidR="003B76C6">
        <w:rPr>
          <w:rFonts w:ascii="Arial" w:hAnsi="Arial" w:cs="Arial"/>
          <w:sz w:val="20"/>
          <w:szCs w:val="20"/>
        </w:rPr>
        <w:t xml:space="preserve"> </w:t>
      </w:r>
      <w:r w:rsidR="003B76C6" w:rsidRPr="003A6EF6">
        <w:rPr>
          <w:rFonts w:ascii="Arial" w:hAnsi="Arial" w:cs="Arial"/>
          <w:b/>
          <w:sz w:val="20"/>
          <w:szCs w:val="20"/>
        </w:rPr>
        <w:t xml:space="preserve">a full explanation of the FTSE 100 FDEW, including what is meant by ‘equal weight’ and ‘fixed dividend’, on pages 9, 10 and 11 of the plan </w:t>
      </w:r>
      <w:proofErr w:type="gramStart"/>
      <w:r w:rsidR="003B76C6" w:rsidRPr="003A6EF6">
        <w:rPr>
          <w:rFonts w:ascii="Arial" w:hAnsi="Arial" w:cs="Arial"/>
          <w:b/>
          <w:sz w:val="20"/>
          <w:szCs w:val="20"/>
        </w:rPr>
        <w:t>brochure</w:t>
      </w:r>
      <w:proofErr w:type="gramEnd"/>
      <w:r w:rsidR="003B76C6" w:rsidRPr="003A6EF6">
        <w:rPr>
          <w:rFonts w:ascii="Arial" w:hAnsi="Arial" w:cs="Arial"/>
          <w:b/>
          <w:sz w:val="20"/>
          <w:szCs w:val="20"/>
        </w:rPr>
        <w:t>.</w:t>
      </w:r>
      <w:r w:rsidR="003B76C6" w:rsidRPr="000C78A4">
        <w:rPr>
          <w:rFonts w:ascii="Arial" w:hAnsi="Arial" w:cs="Arial"/>
          <w:sz w:val="20"/>
          <w:szCs w:val="20"/>
        </w:rPr>
        <w:t xml:space="preserve"> </w:t>
      </w:r>
    </w:p>
    <w:p w14:paraId="7D4CA355" w14:textId="77777777" w:rsidR="003B76C6" w:rsidRPr="000C78A4" w:rsidRDefault="003B76C6" w:rsidP="003B76C6">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233319C"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7A2A13">
        <w:rPr>
          <w:rFonts w:ascii="Arial" w:hAnsi="Arial" w:cs="Arial"/>
          <w:sz w:val="20"/>
          <w:szCs w:val="20"/>
        </w:rPr>
        <w:t>FTSE 100 FDEW</w:t>
      </w:r>
      <w:r w:rsidR="007A2A1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8" w:name="_Toc18054667"/>
      <w:r w:rsidRPr="00C765AB">
        <w:rPr>
          <w:rFonts w:ascii="Arial" w:hAnsi="Arial" w:cs="Arial"/>
          <w:b/>
          <w:bCs/>
          <w:color w:val="000000" w:themeColor="text1"/>
          <w:sz w:val="24"/>
          <w:szCs w:val="24"/>
        </w:rPr>
        <w:t xml:space="preserve">Who is involved in the </w:t>
      </w:r>
      <w:proofErr w:type="gramStart"/>
      <w:r w:rsidRPr="00C765AB">
        <w:rPr>
          <w:rFonts w:ascii="Arial" w:hAnsi="Arial" w:cs="Arial"/>
          <w:b/>
          <w:bCs/>
          <w:color w:val="000000" w:themeColor="text1"/>
          <w:sz w:val="24"/>
          <w:szCs w:val="24"/>
        </w:rPr>
        <w:t>p</w:t>
      </w:r>
      <w:r w:rsidR="00632AB8" w:rsidRPr="00C765AB">
        <w:rPr>
          <w:rFonts w:ascii="Arial" w:hAnsi="Arial" w:cs="Arial"/>
          <w:b/>
          <w:bCs/>
          <w:color w:val="000000" w:themeColor="text1"/>
          <w:sz w:val="24"/>
          <w:szCs w:val="24"/>
        </w:rPr>
        <w:t>lan</w:t>
      </w:r>
      <w:bookmarkEnd w:id="8"/>
      <w:proofErr w:type="gramEnd"/>
    </w:p>
    <w:p w14:paraId="431F5EB7" w14:textId="10F5FEFF" w:rsidR="00487E63" w:rsidRPr="00C765AB" w:rsidRDefault="00632AB8" w:rsidP="00C765AB">
      <w:pPr>
        <w:pStyle w:val="Heading2"/>
        <w:rPr>
          <w:rFonts w:ascii="Arial" w:hAnsi="Arial" w:cs="Arial"/>
          <w:b/>
          <w:sz w:val="20"/>
          <w:szCs w:val="20"/>
        </w:rPr>
      </w:pPr>
      <w:bookmarkStart w:id="9"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9"/>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0" w:name="_Toc18054669"/>
      <w:r w:rsidRPr="00C765AB">
        <w:rPr>
          <w:rFonts w:ascii="Arial" w:hAnsi="Arial" w:cs="Arial"/>
          <w:b/>
          <w:bCs/>
          <w:color w:val="000000" w:themeColor="text1"/>
          <w:sz w:val="20"/>
          <w:szCs w:val="20"/>
        </w:rPr>
        <w:t>Plan Administrator</w:t>
      </w:r>
      <w:bookmarkEnd w:id="10"/>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1" w:name="_Toc18054670"/>
      <w:r w:rsidRPr="00C765AB">
        <w:rPr>
          <w:rFonts w:ascii="Arial" w:hAnsi="Arial" w:cs="Arial"/>
          <w:b/>
          <w:bCs/>
          <w:color w:val="000000" w:themeColor="text1"/>
          <w:sz w:val="20"/>
          <w:szCs w:val="20"/>
        </w:rPr>
        <w:lastRenderedPageBreak/>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1"/>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330552D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4A20E4">
        <w:rPr>
          <w:rFonts w:ascii="Arial" w:hAnsi="Arial" w:cs="Arial"/>
          <w:sz w:val="20"/>
          <w:szCs w:val="20"/>
        </w:rPr>
        <w:t>1</w:t>
      </w:r>
      <w:r w:rsidR="0075043D">
        <w:rPr>
          <w:rFonts w:ascii="Arial" w:hAnsi="Arial" w:cs="Arial"/>
          <w:sz w:val="20"/>
          <w:szCs w:val="20"/>
        </w:rPr>
        <w:t>38</w:t>
      </w:r>
      <w:r w:rsidR="004A20E4">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7A2A13">
        <w:rPr>
          <w:rFonts w:ascii="Arial" w:hAnsi="Arial" w:cs="Arial"/>
          <w:sz w:val="20"/>
          <w:szCs w:val="20"/>
        </w:rPr>
        <w:t xml:space="preserve">01 </w:t>
      </w:r>
      <w:r w:rsidR="00752797">
        <w:rPr>
          <w:rFonts w:ascii="Arial" w:hAnsi="Arial" w:cs="Arial"/>
          <w:sz w:val="20"/>
          <w:szCs w:val="20"/>
        </w:rPr>
        <w:t>Sep</w:t>
      </w:r>
      <w:r w:rsidR="00752797">
        <w:rPr>
          <w:rFonts w:ascii="Arial" w:hAnsi="Arial" w:cs="Arial"/>
          <w:sz w:val="20"/>
          <w:szCs w:val="20"/>
        </w:rPr>
        <w:t xml:space="preserve"> </w:t>
      </w:r>
      <w:r w:rsidR="004A20E4">
        <w:rPr>
          <w:rFonts w:ascii="Arial" w:hAnsi="Arial" w:cs="Arial"/>
          <w:sz w:val="20"/>
          <w:szCs w:val="20"/>
        </w:rPr>
        <w:t>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2"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14" w:name="_Toc18054672"/>
      <w:r w:rsidRPr="00C765AB">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D119EC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w:t>
      </w:r>
      <w:r w:rsidR="00A238A4">
        <w:rPr>
          <w:rFonts w:ascii="Arial" w:hAnsi="Arial" w:cs="Arial"/>
          <w:sz w:val="20"/>
          <w:szCs w:val="20"/>
        </w:rPr>
        <w:t>any income payments</w:t>
      </w:r>
      <w:r w:rsidRPr="003A6EF6">
        <w:rPr>
          <w:rFonts w:ascii="Arial" w:hAnsi="Arial" w:cs="Arial"/>
          <w:sz w:val="20"/>
          <w:szCs w:val="20"/>
        </w:rPr>
        <w:t xml:space="preserve"> if the FTSE 100 FDEW closes below the level needed for option </w:t>
      </w:r>
      <w:r w:rsidR="003D4AB3">
        <w:rPr>
          <w:rFonts w:ascii="Arial" w:hAnsi="Arial" w:cs="Arial"/>
          <w:sz w:val="20"/>
          <w:szCs w:val="20"/>
        </w:rPr>
        <w:t>2</w:t>
      </w:r>
      <w:r w:rsidR="00A238A4" w:rsidRPr="003A6EF6">
        <w:rPr>
          <w:rFonts w:ascii="Arial" w:hAnsi="Arial" w:cs="Arial"/>
          <w:sz w:val="20"/>
          <w:szCs w:val="20"/>
        </w:rPr>
        <w:t xml:space="preserve"> </w:t>
      </w:r>
      <w:r w:rsidRPr="003A6EF6">
        <w:rPr>
          <w:rFonts w:ascii="Arial" w:hAnsi="Arial" w:cs="Arial"/>
          <w:sz w:val="20"/>
          <w:szCs w:val="20"/>
        </w:rPr>
        <w:t xml:space="preserve">on all of the </w:t>
      </w:r>
      <w:r w:rsidR="00A238A4">
        <w:rPr>
          <w:rFonts w:ascii="Arial" w:hAnsi="Arial" w:cs="Arial"/>
          <w:sz w:val="20"/>
          <w:szCs w:val="20"/>
        </w:rPr>
        <w:t>quarterly income</w:t>
      </w:r>
      <w:r w:rsidRPr="003A6EF6">
        <w:rPr>
          <w:rFonts w:ascii="Arial" w:hAnsi="Arial" w:cs="Arial"/>
          <w:sz w:val="20"/>
          <w:szCs w:val="20"/>
        </w:rPr>
        <w:t xml:space="preserve"> dates and on the end date.</w:t>
      </w:r>
    </w:p>
    <w:p w14:paraId="0A5D3BD7" w14:textId="6F3F86E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potential </w:t>
      </w:r>
      <w:r w:rsidR="00A238A4">
        <w:rPr>
          <w:rFonts w:ascii="Arial" w:hAnsi="Arial" w:cs="Arial"/>
          <w:sz w:val="20"/>
          <w:szCs w:val="20"/>
        </w:rPr>
        <w:t>income payments</w:t>
      </w:r>
      <w:r w:rsidRPr="003A6EF6">
        <w:rPr>
          <w:rFonts w:ascii="Arial" w:hAnsi="Arial" w:cs="Arial"/>
          <w:sz w:val="20"/>
          <w:szCs w:val="20"/>
        </w:rPr>
        <w:t xml:space="preserve"> are fixed. It is possible that the FTSE 100 FDEW will increase in value more than the level of </w:t>
      </w:r>
      <w:r w:rsidR="00A238A4">
        <w:rPr>
          <w:rFonts w:ascii="Arial" w:hAnsi="Arial" w:cs="Arial"/>
          <w:sz w:val="20"/>
          <w:szCs w:val="20"/>
        </w:rPr>
        <w:t>income</w:t>
      </w:r>
      <w:r w:rsidRPr="003A6EF6">
        <w:rPr>
          <w:rFonts w:ascii="Arial" w:hAnsi="Arial" w:cs="Arial"/>
          <w:sz w:val="20"/>
          <w:szCs w:val="20"/>
        </w:rPr>
        <w:t xml:space="preserve"> offered by option</w:t>
      </w:r>
      <w:r w:rsidR="00E00862" w:rsidRPr="003A6EF6">
        <w:rPr>
          <w:rFonts w:ascii="Arial" w:hAnsi="Arial" w:cs="Arial"/>
          <w:sz w:val="20"/>
          <w:szCs w:val="20"/>
        </w:rPr>
        <w:t xml:space="preserve"> </w:t>
      </w:r>
      <w:r w:rsidR="003D4AB3">
        <w:rPr>
          <w:rFonts w:ascii="Arial" w:hAnsi="Arial" w:cs="Arial"/>
          <w:sz w:val="20"/>
          <w:szCs w:val="20"/>
        </w:rPr>
        <w:t>2</w:t>
      </w:r>
      <w:r w:rsidRPr="003A6EF6">
        <w:rPr>
          <w:rFonts w:ascii="Arial" w:hAnsi="Arial" w:cs="Arial"/>
          <w:sz w:val="20"/>
          <w:szCs w:val="20"/>
        </w:rPr>
        <w:t xml:space="preserve">. </w:t>
      </w:r>
    </w:p>
    <w:p w14:paraId="240FE12C" w14:textId="54166C7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0649849D" w14:textId="77777777" w:rsidR="003B76C6" w:rsidRDefault="003B76C6" w:rsidP="003B76C6">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4D7128E4"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93A92F7"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2724C2EE" w14:textId="77777777" w:rsidR="003B76C6" w:rsidRPr="003A6EF6" w:rsidRDefault="003B76C6" w:rsidP="003B76C6">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133BF22"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w:t>
      </w:r>
      <w:r w:rsidR="00A238A4">
        <w:rPr>
          <w:rFonts w:ascii="Arial" w:hAnsi="Arial" w:cs="Arial"/>
          <w:sz w:val="20"/>
          <w:szCs w:val="20"/>
        </w:rPr>
        <w:t>quarterly income dates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15" w:name="_Toc18054673"/>
      <w:r w:rsidRPr="00C765AB">
        <w:rPr>
          <w:rFonts w:ascii="Arial" w:hAnsi="Arial" w:cs="Arial"/>
          <w:b/>
          <w:bCs/>
          <w:color w:val="000000" w:themeColor="text1"/>
          <w:sz w:val="24"/>
          <w:szCs w:val="24"/>
        </w:rPr>
        <w:lastRenderedPageBreak/>
        <w:t>Financial Services Compensation Scheme (‘</w:t>
      </w:r>
      <w:r w:rsidR="00C14EA7" w:rsidRPr="00C765AB">
        <w:rPr>
          <w:rFonts w:ascii="Arial" w:hAnsi="Arial" w:cs="Arial"/>
          <w:b/>
          <w:bCs/>
          <w:color w:val="000000" w:themeColor="text1"/>
          <w:sz w:val="24"/>
          <w:szCs w:val="24"/>
        </w:rPr>
        <w:t>FSCS</w:t>
      </w:r>
      <w:r w:rsidRPr="00C765AB">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16" w:name="_Toc18054674"/>
      <w:r w:rsidRPr="00C765AB">
        <w:rPr>
          <w:rFonts w:ascii="Arial" w:hAnsi="Arial" w:cs="Arial"/>
          <w:b/>
          <w:bCs/>
          <w:color w:val="000000" w:themeColor="text1"/>
          <w:sz w:val="24"/>
          <w:szCs w:val="24"/>
        </w:rPr>
        <w:t>Charges</w:t>
      </w:r>
      <w:bookmarkEnd w:id="16"/>
      <w:r w:rsidRPr="00C765A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35C7306C"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525089">
        <w:rPr>
          <w:rFonts w:ascii="Arial" w:hAnsi="Arial" w:cs="Arial"/>
          <w:color w:val="000000"/>
          <w:sz w:val="20"/>
          <w:szCs w:val="20"/>
        </w:rPr>
        <w:t>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17" w:name="_Toc18054675"/>
      <w:r w:rsidRPr="00C765AB">
        <w:rPr>
          <w:rFonts w:ascii="Arial" w:hAnsi="Arial" w:cs="Arial"/>
          <w:b/>
          <w:bCs/>
          <w:color w:val="000000" w:themeColor="text1"/>
          <w:sz w:val="24"/>
          <w:szCs w:val="24"/>
        </w:rPr>
        <w:t>‘I</w:t>
      </w:r>
      <w:r w:rsidR="00FA1A63" w:rsidRPr="00C765AB">
        <w:rPr>
          <w:rFonts w:ascii="Arial" w:hAnsi="Arial" w:cs="Arial"/>
          <w:b/>
          <w:bCs/>
          <w:color w:val="000000" w:themeColor="text1"/>
          <w:sz w:val="24"/>
          <w:szCs w:val="24"/>
        </w:rPr>
        <w:t>f /</w:t>
      </w:r>
      <w:r w:rsidR="001861CB" w:rsidRPr="00C765AB">
        <w:rPr>
          <w:rFonts w:ascii="Arial" w:hAnsi="Arial" w:cs="Arial"/>
          <w:b/>
          <w:bCs/>
          <w:color w:val="000000" w:themeColor="text1"/>
          <w:sz w:val="24"/>
          <w:szCs w:val="24"/>
        </w:rPr>
        <w:t xml:space="preserve"> </w:t>
      </w:r>
      <w:r w:rsidR="00B92279" w:rsidRPr="00C765AB">
        <w:rPr>
          <w:rFonts w:ascii="Arial" w:hAnsi="Arial" w:cs="Arial"/>
          <w:b/>
          <w:bCs/>
          <w:color w:val="000000" w:themeColor="text1"/>
          <w:sz w:val="24"/>
          <w:szCs w:val="24"/>
        </w:rPr>
        <w:t>t</w:t>
      </w:r>
      <w:r w:rsidRPr="00C765AB">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478CE07A"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42AACD7C"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on quarterly dates from the start of the investment term to the tenth anniversary, the FTSE 100 FDEW closes at or above </w:t>
            </w:r>
            <w:r w:rsidR="003D4AB3">
              <w:rPr>
                <w:rFonts w:ascii="Arial" w:hAnsi="Arial" w:cs="Arial"/>
                <w:sz w:val="20"/>
                <w:szCs w:val="20"/>
              </w:rPr>
              <w:t>75</w:t>
            </w:r>
            <w:r w:rsidRPr="00A238A4">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6E48BEC0"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You will receive the 1.</w:t>
            </w:r>
            <w:r w:rsidR="00752797">
              <w:rPr>
                <w:rFonts w:ascii="Arial" w:hAnsi="Arial" w:cs="Arial"/>
                <w:sz w:val="20"/>
                <w:szCs w:val="20"/>
              </w:rPr>
              <w:t>5</w:t>
            </w:r>
            <w:r w:rsidRPr="00A238A4">
              <w:rPr>
                <w:rFonts w:ascii="Arial" w:hAnsi="Arial" w:cs="Arial"/>
                <w:sz w:val="20"/>
                <w:szCs w:val="20"/>
              </w:rPr>
              <w:t>% income payment for that quarter and any missed income payments from previous quarters.</w:t>
            </w:r>
          </w:p>
        </w:tc>
      </w:tr>
      <w:tr w:rsidR="002B1B0A" w:rsidRPr="003A6EF6" w14:paraId="5B11E5CD" w14:textId="77777777" w:rsidTr="002B1B0A">
        <w:tc>
          <w:tcPr>
            <w:tcW w:w="1271" w:type="dxa"/>
          </w:tcPr>
          <w:p w14:paraId="2077A24B" w14:textId="461B88CD"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06029ED4"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on quarterly dates form the third to the tenth anniversary, the FTSE 100 FDEW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77CABD1D"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you will receive the 1.</w:t>
            </w:r>
            <w:r w:rsidR="00752797">
              <w:rPr>
                <w:rFonts w:ascii="Arial" w:hAnsi="Arial" w:cs="Arial"/>
                <w:sz w:val="20"/>
                <w:szCs w:val="20"/>
              </w:rPr>
              <w:t>5</w:t>
            </w:r>
            <w:r w:rsidRPr="00A238A4">
              <w:rPr>
                <w:rFonts w:ascii="Arial" w:hAnsi="Arial" w:cs="Arial"/>
                <w:sz w:val="20"/>
                <w:szCs w:val="20"/>
              </w:rPr>
              <w:t>% income payment for that quarter, any missed income payments from previous quarters and your original investment will also be repaid. The plan will then mature early and close.</w:t>
            </w:r>
          </w:p>
        </w:tc>
      </w:tr>
      <w:tr w:rsidR="003D4AB3" w:rsidRPr="003A6EF6" w14:paraId="365D707C" w14:textId="77777777" w:rsidTr="002B1B0A">
        <w:tc>
          <w:tcPr>
            <w:tcW w:w="1271" w:type="dxa"/>
          </w:tcPr>
          <w:p w14:paraId="7FF0D555" w14:textId="092C0885" w:rsidR="003D4AB3" w:rsidRPr="003A6EF6" w:rsidRDefault="003D4AB3" w:rsidP="00A133D9">
            <w:pPr>
              <w:spacing w:before="120" w:after="120"/>
              <w:rPr>
                <w:rFonts w:ascii="Arial" w:hAnsi="Arial" w:cs="Arial"/>
                <w:b/>
                <w:sz w:val="24"/>
                <w:szCs w:val="24"/>
              </w:rPr>
            </w:pPr>
            <w:r>
              <w:rPr>
                <w:rFonts w:ascii="Arial" w:hAnsi="Arial" w:cs="Arial"/>
                <w:b/>
                <w:sz w:val="24"/>
                <w:szCs w:val="24"/>
              </w:rPr>
              <w:lastRenderedPageBreak/>
              <w:t>If not …</w:t>
            </w:r>
          </w:p>
        </w:tc>
        <w:tc>
          <w:tcPr>
            <w:tcW w:w="3402" w:type="dxa"/>
          </w:tcPr>
          <w:p w14:paraId="55352C3E" w14:textId="75CA4808" w:rsidR="003D4AB3" w:rsidRPr="00A238A4" w:rsidRDefault="003D4AB3" w:rsidP="004A20E4">
            <w:pPr>
              <w:spacing w:before="120" w:after="120"/>
              <w:rPr>
                <w:rFonts w:ascii="Arial" w:hAnsi="Arial" w:cs="Arial"/>
                <w:sz w:val="20"/>
                <w:szCs w:val="20"/>
              </w:rPr>
            </w:pPr>
            <w:r w:rsidRPr="003D4AB3">
              <w:rPr>
                <w:rFonts w:ascii="Arial" w:hAnsi="Arial" w:cs="Arial"/>
                <w:sz w:val="20"/>
                <w:szCs w:val="20"/>
              </w:rPr>
              <w:t xml:space="preserve">if, at the end of the investment term, the FTSE 100 FDEW closes below 75% of the start level, but at or above </w:t>
            </w:r>
            <w:r w:rsidR="00525089">
              <w:rPr>
                <w:rFonts w:ascii="Arial" w:hAnsi="Arial" w:cs="Arial"/>
                <w:sz w:val="20"/>
                <w:szCs w:val="20"/>
              </w:rPr>
              <w:t>50</w:t>
            </w:r>
            <w:r w:rsidRPr="003D4AB3">
              <w:rPr>
                <w:rFonts w:ascii="Arial" w:hAnsi="Arial" w:cs="Arial"/>
                <w:sz w:val="20"/>
                <w:szCs w:val="20"/>
              </w:rPr>
              <w:t>% of the start level ...</w:t>
            </w:r>
          </w:p>
        </w:tc>
        <w:tc>
          <w:tcPr>
            <w:tcW w:w="1140" w:type="dxa"/>
          </w:tcPr>
          <w:p w14:paraId="73EF24DB" w14:textId="050F00B3" w:rsidR="003D4AB3" w:rsidRPr="003A6EF6" w:rsidRDefault="003D4AB3" w:rsidP="00A133D9">
            <w:pPr>
              <w:spacing w:before="120" w:after="120"/>
              <w:rPr>
                <w:rFonts w:ascii="Arial" w:hAnsi="Arial" w:cs="Arial"/>
                <w:b/>
                <w:sz w:val="24"/>
                <w:szCs w:val="24"/>
              </w:rPr>
            </w:pPr>
            <w:r>
              <w:rPr>
                <w:rFonts w:ascii="Arial" w:hAnsi="Arial" w:cs="Arial"/>
                <w:b/>
                <w:sz w:val="24"/>
                <w:szCs w:val="24"/>
              </w:rPr>
              <w:t>then …</w:t>
            </w:r>
          </w:p>
        </w:tc>
        <w:tc>
          <w:tcPr>
            <w:tcW w:w="3396" w:type="dxa"/>
          </w:tcPr>
          <w:p w14:paraId="3865D9B3" w14:textId="68AFABB9" w:rsidR="003D4AB3" w:rsidRPr="00A238A4" w:rsidRDefault="003D4AB3" w:rsidP="00A133D9">
            <w:pPr>
              <w:spacing w:before="120" w:after="120"/>
              <w:rPr>
                <w:rFonts w:ascii="Arial" w:hAnsi="Arial" w:cs="Arial"/>
                <w:sz w:val="20"/>
                <w:szCs w:val="20"/>
              </w:rPr>
            </w:pPr>
            <w:r w:rsidRPr="003D4AB3">
              <w:rPr>
                <w:rFonts w:ascii="Arial" w:hAnsi="Arial" w:cs="Arial"/>
                <w:sz w:val="20"/>
                <w:szCs w:val="20"/>
              </w:rPr>
              <w:t>you will receive no income payment for that quarter, but your original investment will be repaid.</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C3A4B25"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if, at the end of the investment term, the FTSE 100 FDEW closes below </w:t>
            </w:r>
            <w:r w:rsidR="00525089">
              <w:rPr>
                <w:rFonts w:ascii="Arial" w:hAnsi="Arial" w:cs="Arial"/>
                <w:sz w:val="20"/>
                <w:szCs w:val="20"/>
              </w:rPr>
              <w:t>50</w:t>
            </w:r>
            <w:r w:rsidRPr="00A238A4">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E4524C0" w:rsidR="008C5B72" w:rsidRPr="003A6EF6" w:rsidRDefault="00A238A4" w:rsidP="00A133D9">
            <w:pPr>
              <w:spacing w:before="120" w:after="120"/>
              <w:rPr>
                <w:rFonts w:ascii="Arial" w:hAnsi="Arial" w:cs="Arial"/>
                <w:sz w:val="20"/>
                <w:szCs w:val="20"/>
              </w:rPr>
            </w:pPr>
            <w:r w:rsidRPr="00A238A4">
              <w:rPr>
                <w:rFonts w:ascii="Arial" w:hAnsi="Arial" w:cs="Arial"/>
                <w:sz w:val="20"/>
                <w:szCs w:val="20"/>
              </w:rPr>
              <w:t>the amount of your investment that is repaid will be reduced by 1% for every 1% that the FTSE 100 FDEW is below the start level</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D9F9DB5"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18" w:name="_Toc18054676"/>
      <w:r w:rsidRPr="00C765AB">
        <w:rPr>
          <w:rFonts w:ascii="Arial" w:hAnsi="Arial" w:cs="Arial"/>
          <w:b/>
          <w:bCs/>
          <w:color w:val="000000" w:themeColor="text1"/>
          <w:sz w:val="24"/>
          <w:szCs w:val="24"/>
        </w:rPr>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2537596A" w:rsidR="008C5B72"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A238A4">
        <w:rPr>
          <w:rFonts w:ascii="Arial" w:hAnsi="Arial" w:cs="Arial"/>
          <w:color w:val="000000"/>
          <w:sz w:val="20"/>
          <w:szCs w:val="20"/>
        </w:rPr>
        <w:t xml:space="preserve"> and understand the important differences between the FTSE 100 FDEW and the FTSE 100</w:t>
      </w:r>
      <w:r w:rsidRPr="003A6EF6">
        <w:rPr>
          <w:rFonts w:ascii="Arial" w:hAnsi="Arial" w:cs="Arial"/>
          <w:color w:val="000000"/>
          <w:sz w:val="20"/>
          <w:szCs w:val="20"/>
        </w:rPr>
        <w:t>;</w:t>
      </w:r>
    </w:p>
    <w:p w14:paraId="576DECDB" w14:textId="1361CE8B" w:rsidR="00A238A4" w:rsidRPr="002B1B0A" w:rsidRDefault="00A238A4" w:rsidP="002B1B0A">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Have carefully considered the current level of the FTSE 100 FDEW</w:t>
      </w:r>
      <w:r w:rsidR="00525089">
        <w:rPr>
          <w:rFonts w:ascii="Arial" w:hAnsi="Arial" w:cs="Arial"/>
          <w:color w:val="000000"/>
          <w:sz w:val="20"/>
          <w:szCs w:val="20"/>
        </w:rPr>
        <w:t>,</w:t>
      </w:r>
      <w:r>
        <w:rPr>
          <w:rFonts w:ascii="Arial" w:hAnsi="Arial" w:cs="Arial"/>
          <w:color w:val="000000"/>
          <w:sz w:val="20"/>
          <w:szCs w:val="20"/>
        </w:rPr>
        <w:t xml:space="preserve"> the level of its fixed dividend and </w:t>
      </w:r>
      <w:r w:rsidR="00525089">
        <w:rPr>
          <w:rFonts w:ascii="Arial" w:hAnsi="Arial" w:cs="Arial"/>
          <w:color w:val="000000"/>
          <w:sz w:val="20"/>
          <w:szCs w:val="20"/>
        </w:rPr>
        <w:t xml:space="preserve">the outlook for its future level and </w:t>
      </w:r>
      <w:r>
        <w:rPr>
          <w:rFonts w:ascii="Arial" w:hAnsi="Arial" w:cs="Arial"/>
          <w:color w:val="000000"/>
          <w:sz w:val="20"/>
          <w:szCs w:val="20"/>
        </w:rPr>
        <w:t>understand that this plan is designed for investors who have a positive view of the future level of the FTSE 100 FDEW, over the medium to long term;</w:t>
      </w:r>
    </w:p>
    <w:p w14:paraId="02649762" w14:textId="39F4D56A"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to increase the likelihood of receiving a fixed </w:t>
      </w:r>
      <w:r w:rsidR="00A238A4">
        <w:rPr>
          <w:rFonts w:ascii="Arial" w:hAnsi="Arial" w:cs="Arial"/>
          <w:color w:val="000000"/>
          <w:sz w:val="20"/>
          <w:szCs w:val="20"/>
        </w:rPr>
        <w:t>income</w:t>
      </w:r>
      <w:r w:rsidR="008C5B72" w:rsidRPr="003A6EF6">
        <w:rPr>
          <w:rFonts w:ascii="Arial" w:hAnsi="Arial" w:cs="Arial"/>
          <w:color w:val="000000"/>
          <w:sz w:val="20"/>
          <w:szCs w:val="20"/>
        </w:rPr>
        <w:t xml:space="preserve">, by investing in a product that does not need the FTSE 100 FDEW to rise – but understand that if it falls below the level needed, no </w:t>
      </w:r>
      <w:r w:rsidR="00A238A4">
        <w:rPr>
          <w:rFonts w:ascii="Arial" w:hAnsi="Arial" w:cs="Arial"/>
          <w:color w:val="000000"/>
          <w:sz w:val="20"/>
          <w:szCs w:val="20"/>
        </w:rPr>
        <w:t>income</w:t>
      </w:r>
      <w:r w:rsidR="00A238A4" w:rsidRPr="003A6EF6">
        <w:rPr>
          <w:rFonts w:ascii="Arial" w:hAnsi="Arial" w:cs="Arial"/>
          <w:color w:val="000000"/>
          <w:sz w:val="20"/>
          <w:szCs w:val="20"/>
        </w:rPr>
        <w:t xml:space="preserve"> </w:t>
      </w:r>
      <w:r w:rsidR="008C5B72" w:rsidRPr="003A6EF6">
        <w:rPr>
          <w:rFonts w:ascii="Arial" w:hAnsi="Arial" w:cs="Arial"/>
          <w:color w:val="000000"/>
          <w:sz w:val="20"/>
          <w:szCs w:val="20"/>
        </w:rPr>
        <w:t>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C1AC4A3"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A238A4">
        <w:rPr>
          <w:rFonts w:ascii="Arial" w:hAnsi="Arial" w:cs="Arial"/>
          <w:color w:val="000000"/>
          <w:sz w:val="20"/>
          <w:szCs w:val="20"/>
        </w:rPr>
        <w:t>quarterly income dates from the end of the 3</w:t>
      </w:r>
      <w:r w:rsidR="00A238A4" w:rsidRPr="00444562">
        <w:rPr>
          <w:rFonts w:ascii="Arial" w:hAnsi="Arial" w:cs="Arial"/>
          <w:color w:val="000000"/>
          <w:sz w:val="20"/>
          <w:szCs w:val="20"/>
          <w:vertAlign w:val="superscript"/>
        </w:rPr>
        <w:t>rd</w:t>
      </w:r>
      <w:r w:rsidR="00A238A4">
        <w:rPr>
          <w:rFonts w:ascii="Arial" w:hAnsi="Arial" w:cs="Arial"/>
          <w:color w:val="000000"/>
          <w:sz w:val="20"/>
          <w:szCs w:val="20"/>
        </w:rPr>
        <w:t xml:space="preserve"> year</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09F6980E"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44456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B18948D"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19"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0D92BBE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3B76C6">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2BF6FB01"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0" w:name="_Toc18054678"/>
      <w:r w:rsidRPr="00C765AB">
        <w:rPr>
          <w:rFonts w:ascii="Arial" w:hAnsi="Arial" w:cs="Arial"/>
          <w:b/>
          <w:bCs/>
          <w:color w:val="000000" w:themeColor="text1"/>
          <w:sz w:val="24"/>
          <w:szCs w:val="24"/>
        </w:rPr>
        <w:lastRenderedPageBreak/>
        <w:t>Final points</w:t>
      </w:r>
      <w:r w:rsidR="00CD577B" w:rsidRPr="00C765AB">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46153402" w14:textId="77777777" w:rsidR="003B76C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p>
    <w:p w14:paraId="3678FDE7" w14:textId="10A3DB9D" w:rsidR="003B76C6" w:rsidRPr="008D47C0" w:rsidRDefault="00525089" w:rsidP="003B76C6">
      <w:pPr>
        <w:pStyle w:val="NoSpacing"/>
        <w:spacing w:before="120" w:after="120"/>
        <w:rPr>
          <w:rFonts w:ascii="Arial" w:hAnsi="Arial" w:cs="Arial"/>
          <w:sz w:val="20"/>
          <w:szCs w:val="20"/>
        </w:rPr>
      </w:pPr>
      <w:r>
        <w:rPr>
          <w:rFonts w:ascii="Arial" w:hAnsi="Arial" w:cs="Arial"/>
          <w:sz w:val="20"/>
          <w:szCs w:val="20"/>
        </w:rPr>
        <w:t>It</w:t>
      </w:r>
      <w:r w:rsidR="003B76C6"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3B76C6"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3B76C6" w:rsidRPr="008D47C0">
        <w:rPr>
          <w:rFonts w:ascii="Arial" w:hAnsi="Arial" w:cs="Arial"/>
          <w:sz w:val="20"/>
          <w:szCs w:val="20"/>
        </w:rPr>
        <w:t>.</w:t>
      </w:r>
    </w:p>
    <w:p w14:paraId="5AB16434" w14:textId="77777777" w:rsidR="003B76C6" w:rsidRPr="008D47C0" w:rsidRDefault="003B76C6" w:rsidP="003B76C6">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444562">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35ADB7EF">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BB29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" strokecolor="#7030a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07D918FC"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A238A4">
        <w:rPr>
          <w:rFonts w:ascii="Arial" w:hAnsi="Arial" w:cs="Arial"/>
          <w:sz w:val="20"/>
          <w:szCs w:val="20"/>
          <w:lang w:eastAsia="en-GB"/>
        </w:rPr>
        <w:t xml:space="preserve">01 </w:t>
      </w:r>
      <w:r w:rsidR="00752797">
        <w:rPr>
          <w:rFonts w:ascii="Arial" w:hAnsi="Arial" w:cs="Arial"/>
          <w:sz w:val="20"/>
          <w:szCs w:val="20"/>
          <w:lang w:eastAsia="en-GB"/>
        </w:rPr>
        <w:t>Sep</w:t>
      </w:r>
      <w:r w:rsidR="00752797">
        <w:rPr>
          <w:rFonts w:ascii="Arial" w:hAnsi="Arial" w:cs="Arial"/>
          <w:sz w:val="20"/>
          <w:szCs w:val="20"/>
          <w:lang w:eastAsia="en-GB"/>
        </w:rPr>
        <w:t xml:space="preserve"> </w:t>
      </w:r>
      <w:r w:rsidR="004A20E4">
        <w:rPr>
          <w:rFonts w:ascii="Arial" w:hAnsi="Arial" w:cs="Arial"/>
          <w:sz w:val="20"/>
          <w:szCs w:val="20"/>
          <w:lang w:eastAsia="en-GB"/>
        </w:rPr>
        <w:t>2020</w:t>
      </w:r>
      <w:r>
        <w:rPr>
          <w:rFonts w:ascii="Arial" w:hAnsi="Arial" w:cs="Arial"/>
          <w:sz w:val="20"/>
          <w:szCs w:val="20"/>
          <w:lang w:eastAsia="en-GB"/>
        </w:rPr>
        <w:t>.</w:t>
      </w:r>
    </w:p>
    <w:p w14:paraId="66781D37" w14:textId="727E580D"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4A20E4">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8C42" w14:textId="77777777" w:rsidR="00D90342" w:rsidRDefault="00D90342" w:rsidP="00D76989">
      <w:pPr>
        <w:spacing w:after="0" w:line="240" w:lineRule="auto"/>
      </w:pPr>
      <w:r>
        <w:separator/>
      </w:r>
    </w:p>
  </w:endnote>
  <w:endnote w:type="continuationSeparator" w:id="0">
    <w:p w14:paraId="2103D277" w14:textId="77777777" w:rsidR="00D90342" w:rsidRDefault="00D90342"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FE3F" w14:textId="77777777" w:rsidR="00D90342" w:rsidRDefault="00D90342" w:rsidP="00D76989">
      <w:pPr>
        <w:spacing w:after="0" w:line="240" w:lineRule="auto"/>
      </w:pPr>
      <w:r>
        <w:separator/>
      </w:r>
    </w:p>
  </w:footnote>
  <w:footnote w:type="continuationSeparator" w:id="0">
    <w:p w14:paraId="5A86A213" w14:textId="77777777" w:rsidR="00D90342" w:rsidRDefault="00D90342"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609B5"/>
    <w:rsid w:val="0006306A"/>
    <w:rsid w:val="0006378E"/>
    <w:rsid w:val="00065439"/>
    <w:rsid w:val="000745EB"/>
    <w:rsid w:val="00076F8B"/>
    <w:rsid w:val="0007788A"/>
    <w:rsid w:val="00096127"/>
    <w:rsid w:val="00096EB1"/>
    <w:rsid w:val="000A1DED"/>
    <w:rsid w:val="000A3477"/>
    <w:rsid w:val="000A6451"/>
    <w:rsid w:val="000A705C"/>
    <w:rsid w:val="000C6BFF"/>
    <w:rsid w:val="000D00B4"/>
    <w:rsid w:val="000D04BF"/>
    <w:rsid w:val="000E001C"/>
    <w:rsid w:val="000E33F0"/>
    <w:rsid w:val="000E55C6"/>
    <w:rsid w:val="000E71D6"/>
    <w:rsid w:val="000E7899"/>
    <w:rsid w:val="000F2403"/>
    <w:rsid w:val="00100498"/>
    <w:rsid w:val="00110784"/>
    <w:rsid w:val="00126426"/>
    <w:rsid w:val="00141700"/>
    <w:rsid w:val="00145817"/>
    <w:rsid w:val="0014701E"/>
    <w:rsid w:val="00176E91"/>
    <w:rsid w:val="001772E3"/>
    <w:rsid w:val="00182218"/>
    <w:rsid w:val="00185F9D"/>
    <w:rsid w:val="001861CB"/>
    <w:rsid w:val="0018707B"/>
    <w:rsid w:val="00195110"/>
    <w:rsid w:val="001D43CE"/>
    <w:rsid w:val="001D6640"/>
    <w:rsid w:val="001E6D97"/>
    <w:rsid w:val="001F5D98"/>
    <w:rsid w:val="001F697D"/>
    <w:rsid w:val="0020496A"/>
    <w:rsid w:val="00213F36"/>
    <w:rsid w:val="0022083E"/>
    <w:rsid w:val="0022380E"/>
    <w:rsid w:val="00227A9D"/>
    <w:rsid w:val="00231556"/>
    <w:rsid w:val="00256186"/>
    <w:rsid w:val="00256D93"/>
    <w:rsid w:val="00270E89"/>
    <w:rsid w:val="00274A48"/>
    <w:rsid w:val="0028299C"/>
    <w:rsid w:val="002907A2"/>
    <w:rsid w:val="002A1001"/>
    <w:rsid w:val="002B1B0A"/>
    <w:rsid w:val="002C25B8"/>
    <w:rsid w:val="002C488E"/>
    <w:rsid w:val="002C5FD7"/>
    <w:rsid w:val="002C662A"/>
    <w:rsid w:val="002D7D46"/>
    <w:rsid w:val="002E79C1"/>
    <w:rsid w:val="00305036"/>
    <w:rsid w:val="00305B40"/>
    <w:rsid w:val="00323806"/>
    <w:rsid w:val="00323D9A"/>
    <w:rsid w:val="00337300"/>
    <w:rsid w:val="00340BCF"/>
    <w:rsid w:val="00342F96"/>
    <w:rsid w:val="00344D07"/>
    <w:rsid w:val="003472AB"/>
    <w:rsid w:val="0034791D"/>
    <w:rsid w:val="0035156F"/>
    <w:rsid w:val="0035349F"/>
    <w:rsid w:val="00353D40"/>
    <w:rsid w:val="00357E24"/>
    <w:rsid w:val="0036299C"/>
    <w:rsid w:val="003667A5"/>
    <w:rsid w:val="00367681"/>
    <w:rsid w:val="00367F8A"/>
    <w:rsid w:val="00377992"/>
    <w:rsid w:val="00381C63"/>
    <w:rsid w:val="00385997"/>
    <w:rsid w:val="00397E26"/>
    <w:rsid w:val="003A6EF6"/>
    <w:rsid w:val="003B2647"/>
    <w:rsid w:val="003B5D8F"/>
    <w:rsid w:val="003B76C6"/>
    <w:rsid w:val="003B77F0"/>
    <w:rsid w:val="003C3D62"/>
    <w:rsid w:val="003D222C"/>
    <w:rsid w:val="003D242F"/>
    <w:rsid w:val="003D4AB3"/>
    <w:rsid w:val="003F6B80"/>
    <w:rsid w:val="003F6C91"/>
    <w:rsid w:val="0040021B"/>
    <w:rsid w:val="00404147"/>
    <w:rsid w:val="004111CC"/>
    <w:rsid w:val="00411E09"/>
    <w:rsid w:val="00414A29"/>
    <w:rsid w:val="00415F7D"/>
    <w:rsid w:val="00421C03"/>
    <w:rsid w:val="0042421D"/>
    <w:rsid w:val="004321BB"/>
    <w:rsid w:val="00433049"/>
    <w:rsid w:val="00433F28"/>
    <w:rsid w:val="00434435"/>
    <w:rsid w:val="00437DFF"/>
    <w:rsid w:val="004436F1"/>
    <w:rsid w:val="00444562"/>
    <w:rsid w:val="004503D1"/>
    <w:rsid w:val="00464BF4"/>
    <w:rsid w:val="00464C5A"/>
    <w:rsid w:val="0047036E"/>
    <w:rsid w:val="00477D51"/>
    <w:rsid w:val="00484D9A"/>
    <w:rsid w:val="0048627A"/>
    <w:rsid w:val="00487E63"/>
    <w:rsid w:val="00492676"/>
    <w:rsid w:val="004A20E4"/>
    <w:rsid w:val="004B2257"/>
    <w:rsid w:val="004C0106"/>
    <w:rsid w:val="004C167F"/>
    <w:rsid w:val="004C558B"/>
    <w:rsid w:val="004D2844"/>
    <w:rsid w:val="004D491B"/>
    <w:rsid w:val="004D4D59"/>
    <w:rsid w:val="004D69E0"/>
    <w:rsid w:val="004E1D9B"/>
    <w:rsid w:val="004E470A"/>
    <w:rsid w:val="004E4ED0"/>
    <w:rsid w:val="004F1542"/>
    <w:rsid w:val="004F1E17"/>
    <w:rsid w:val="0050054C"/>
    <w:rsid w:val="00511E62"/>
    <w:rsid w:val="00517D66"/>
    <w:rsid w:val="00525089"/>
    <w:rsid w:val="005250F1"/>
    <w:rsid w:val="00527B2C"/>
    <w:rsid w:val="005403E1"/>
    <w:rsid w:val="00552586"/>
    <w:rsid w:val="00554E32"/>
    <w:rsid w:val="00563E44"/>
    <w:rsid w:val="00564677"/>
    <w:rsid w:val="00564E41"/>
    <w:rsid w:val="0056592F"/>
    <w:rsid w:val="00571846"/>
    <w:rsid w:val="00571CCA"/>
    <w:rsid w:val="0057779C"/>
    <w:rsid w:val="0058171B"/>
    <w:rsid w:val="005904C1"/>
    <w:rsid w:val="00591B1F"/>
    <w:rsid w:val="005A386D"/>
    <w:rsid w:val="005A6C19"/>
    <w:rsid w:val="005B0BE2"/>
    <w:rsid w:val="005B302E"/>
    <w:rsid w:val="005B3645"/>
    <w:rsid w:val="005B3FD3"/>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52E4A"/>
    <w:rsid w:val="0066425A"/>
    <w:rsid w:val="00666A27"/>
    <w:rsid w:val="0068038C"/>
    <w:rsid w:val="006816D5"/>
    <w:rsid w:val="00683890"/>
    <w:rsid w:val="0068644F"/>
    <w:rsid w:val="0069765D"/>
    <w:rsid w:val="006B474F"/>
    <w:rsid w:val="006C39D6"/>
    <w:rsid w:val="006D4258"/>
    <w:rsid w:val="006F6060"/>
    <w:rsid w:val="00723084"/>
    <w:rsid w:val="00723C83"/>
    <w:rsid w:val="00731C2C"/>
    <w:rsid w:val="007454E1"/>
    <w:rsid w:val="0075043D"/>
    <w:rsid w:val="00752797"/>
    <w:rsid w:val="00754DEB"/>
    <w:rsid w:val="00760DA4"/>
    <w:rsid w:val="0078706C"/>
    <w:rsid w:val="007A2A13"/>
    <w:rsid w:val="007B3901"/>
    <w:rsid w:val="007C4621"/>
    <w:rsid w:val="007C515D"/>
    <w:rsid w:val="007D25F4"/>
    <w:rsid w:val="007D3CBE"/>
    <w:rsid w:val="007E13DD"/>
    <w:rsid w:val="007E61CD"/>
    <w:rsid w:val="007E69A7"/>
    <w:rsid w:val="0080115A"/>
    <w:rsid w:val="00821AA8"/>
    <w:rsid w:val="00823898"/>
    <w:rsid w:val="00823E0E"/>
    <w:rsid w:val="008278B1"/>
    <w:rsid w:val="00840CE4"/>
    <w:rsid w:val="0084149A"/>
    <w:rsid w:val="008458DC"/>
    <w:rsid w:val="00845DE2"/>
    <w:rsid w:val="00861741"/>
    <w:rsid w:val="00877491"/>
    <w:rsid w:val="008776F2"/>
    <w:rsid w:val="0088277E"/>
    <w:rsid w:val="00885CDA"/>
    <w:rsid w:val="00886F64"/>
    <w:rsid w:val="008A2C34"/>
    <w:rsid w:val="008C11F4"/>
    <w:rsid w:val="008C1ABF"/>
    <w:rsid w:val="008C5B72"/>
    <w:rsid w:val="008D3ED4"/>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4332"/>
    <w:rsid w:val="009871F2"/>
    <w:rsid w:val="00991E52"/>
    <w:rsid w:val="009B241F"/>
    <w:rsid w:val="009C251E"/>
    <w:rsid w:val="009C6B16"/>
    <w:rsid w:val="009D1477"/>
    <w:rsid w:val="009F5830"/>
    <w:rsid w:val="009F6CF5"/>
    <w:rsid w:val="00A133D9"/>
    <w:rsid w:val="00A14A58"/>
    <w:rsid w:val="00A162FD"/>
    <w:rsid w:val="00A22C5D"/>
    <w:rsid w:val="00A238A4"/>
    <w:rsid w:val="00A246C5"/>
    <w:rsid w:val="00A47EC6"/>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0B2C"/>
    <w:rsid w:val="00B04575"/>
    <w:rsid w:val="00B25F1A"/>
    <w:rsid w:val="00B32AB2"/>
    <w:rsid w:val="00B446FE"/>
    <w:rsid w:val="00B62622"/>
    <w:rsid w:val="00B65E35"/>
    <w:rsid w:val="00B70FE6"/>
    <w:rsid w:val="00B71CBF"/>
    <w:rsid w:val="00B76A04"/>
    <w:rsid w:val="00B80FB0"/>
    <w:rsid w:val="00B90121"/>
    <w:rsid w:val="00B92279"/>
    <w:rsid w:val="00B95FFB"/>
    <w:rsid w:val="00BA422B"/>
    <w:rsid w:val="00BA7B8E"/>
    <w:rsid w:val="00BB653E"/>
    <w:rsid w:val="00BC0916"/>
    <w:rsid w:val="00BC1662"/>
    <w:rsid w:val="00BE0E4F"/>
    <w:rsid w:val="00C00F8F"/>
    <w:rsid w:val="00C01F47"/>
    <w:rsid w:val="00C1220A"/>
    <w:rsid w:val="00C14EA7"/>
    <w:rsid w:val="00C54224"/>
    <w:rsid w:val="00C643F8"/>
    <w:rsid w:val="00C765AB"/>
    <w:rsid w:val="00C77064"/>
    <w:rsid w:val="00C94B24"/>
    <w:rsid w:val="00CA46D0"/>
    <w:rsid w:val="00CB02E3"/>
    <w:rsid w:val="00CD087E"/>
    <w:rsid w:val="00CD0ED4"/>
    <w:rsid w:val="00CD577B"/>
    <w:rsid w:val="00CD5B14"/>
    <w:rsid w:val="00CE091D"/>
    <w:rsid w:val="00CE1AE3"/>
    <w:rsid w:val="00CE4D77"/>
    <w:rsid w:val="00CF2ADA"/>
    <w:rsid w:val="00CF5009"/>
    <w:rsid w:val="00CF6221"/>
    <w:rsid w:val="00D04180"/>
    <w:rsid w:val="00D20370"/>
    <w:rsid w:val="00D2097A"/>
    <w:rsid w:val="00D24090"/>
    <w:rsid w:val="00D24A2A"/>
    <w:rsid w:val="00D26062"/>
    <w:rsid w:val="00D34FB5"/>
    <w:rsid w:val="00D364AF"/>
    <w:rsid w:val="00D36D7A"/>
    <w:rsid w:val="00D41F78"/>
    <w:rsid w:val="00D673B5"/>
    <w:rsid w:val="00D70AD5"/>
    <w:rsid w:val="00D71ED6"/>
    <w:rsid w:val="00D7319B"/>
    <w:rsid w:val="00D76989"/>
    <w:rsid w:val="00D90342"/>
    <w:rsid w:val="00D94BA9"/>
    <w:rsid w:val="00DA5EC1"/>
    <w:rsid w:val="00DC352F"/>
    <w:rsid w:val="00DC7FFE"/>
    <w:rsid w:val="00DE2361"/>
    <w:rsid w:val="00DE422A"/>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1187"/>
    <w:rsid w:val="00EC68AB"/>
    <w:rsid w:val="00ED4F3D"/>
    <w:rsid w:val="00EE20F0"/>
    <w:rsid w:val="00EE2BDC"/>
    <w:rsid w:val="00EF2A6F"/>
    <w:rsid w:val="00F003CA"/>
    <w:rsid w:val="00F11CE9"/>
    <w:rsid w:val="00F1259C"/>
    <w:rsid w:val="00F14CCD"/>
    <w:rsid w:val="00F31CF4"/>
    <w:rsid w:val="00F415A9"/>
    <w:rsid w:val="00F45F40"/>
    <w:rsid w:val="00F5160C"/>
    <w:rsid w:val="00F57741"/>
    <w:rsid w:val="00F7392C"/>
    <w:rsid w:val="00F84486"/>
    <w:rsid w:val="00F875EF"/>
    <w:rsid w:val="00F927BD"/>
    <w:rsid w:val="00FA1A63"/>
    <w:rsid w:val="00FB20A4"/>
    <w:rsid w:val="00FC3A05"/>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7524-4556-B244-92C1-C4694B2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3</cp:revision>
  <cp:lastPrinted>2019-12-20T09:00:00Z</cp:lastPrinted>
  <dcterms:created xsi:type="dcterms:W3CDTF">2020-09-21T10:17:00Z</dcterms:created>
  <dcterms:modified xsi:type="dcterms:W3CDTF">2020-09-21T10:17:00Z</dcterms:modified>
</cp:coreProperties>
</file>